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29C" w:rsidRPr="00183E05" w:rsidRDefault="00E02E9E" w:rsidP="0033229C">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3GPP TSG RAN WG1 #11</w:t>
      </w:r>
      <w:r w:rsidR="00151E6E">
        <w:rPr>
          <w:rFonts w:ascii="Arial" w:hAnsi="Arial" w:cs="Arial" w:hint="eastAsia"/>
          <w:b/>
          <w:bCs/>
          <w:snapToGrid w:val="0"/>
          <w:sz w:val="24"/>
          <w:lang w:val="en-GB"/>
        </w:rPr>
        <w:t>2</w:t>
      </w:r>
      <w:r w:rsidR="00204684">
        <w:rPr>
          <w:rFonts w:ascii="Arial" w:hAnsi="Arial" w:cs="Arial"/>
          <w:b/>
          <w:bCs/>
          <w:snapToGrid w:val="0"/>
          <w:sz w:val="24"/>
          <w:lang w:val="en-GB"/>
        </w:rPr>
        <w:t xml:space="preserve">              </w:t>
      </w:r>
      <w:r w:rsidR="0033229C" w:rsidRPr="00461B19">
        <w:rPr>
          <w:rFonts w:ascii="Arial" w:hAnsi="Arial" w:cs="Arial" w:hint="eastAsia"/>
          <w:b/>
          <w:bCs/>
          <w:snapToGrid w:val="0"/>
          <w:sz w:val="24"/>
          <w:lang w:val="en-GB"/>
        </w:rPr>
        <w:t xml:space="preserve"> </w:t>
      </w:r>
      <w:r w:rsidR="000437FC">
        <w:rPr>
          <w:rFonts w:ascii="Arial" w:hAnsi="Arial" w:cs="Arial"/>
          <w:b/>
          <w:bCs/>
          <w:snapToGrid w:val="0"/>
          <w:sz w:val="24"/>
          <w:lang w:val="en-GB"/>
        </w:rPr>
        <w:tab/>
      </w:r>
      <w:r w:rsidR="0033229C">
        <w:rPr>
          <w:rFonts w:ascii="Arial" w:hAnsi="Arial" w:cs="Arial"/>
          <w:b/>
          <w:bCs/>
          <w:snapToGrid w:val="0"/>
          <w:sz w:val="24"/>
          <w:lang w:val="en-GB"/>
        </w:rPr>
        <w:t xml:space="preserve"> </w:t>
      </w:r>
      <w:r w:rsidR="0033229C" w:rsidRPr="00461B19">
        <w:rPr>
          <w:rFonts w:ascii="Arial" w:hAnsi="Arial" w:cs="Arial" w:hint="eastAsia"/>
          <w:b/>
          <w:bCs/>
          <w:snapToGrid w:val="0"/>
          <w:sz w:val="24"/>
          <w:lang w:val="en-GB"/>
        </w:rPr>
        <w:t xml:space="preserve">     </w:t>
      </w:r>
      <w:r w:rsidR="0033229C" w:rsidRPr="00461B19">
        <w:rPr>
          <w:rFonts w:ascii="Arial" w:hAnsi="Arial" w:cs="Arial"/>
          <w:b/>
          <w:bCs/>
          <w:snapToGrid w:val="0"/>
          <w:sz w:val="24"/>
          <w:lang w:val="en-GB"/>
        </w:rPr>
        <w:t xml:space="preserve">    </w:t>
      </w:r>
      <w:r w:rsidR="0033229C" w:rsidRPr="00461B19">
        <w:rPr>
          <w:rFonts w:ascii="Arial" w:hAnsi="Arial" w:cs="Arial"/>
          <w:b/>
          <w:bCs/>
          <w:snapToGrid w:val="0"/>
          <w:sz w:val="24"/>
          <w:lang w:val="en-GB"/>
        </w:rPr>
        <w:tab/>
      </w:r>
      <w:r w:rsidR="0033229C" w:rsidRPr="00461B19">
        <w:rPr>
          <w:rFonts w:ascii="Arial" w:hAnsi="Arial" w:cs="Arial" w:hint="eastAsia"/>
          <w:b/>
          <w:bCs/>
          <w:snapToGrid w:val="0"/>
          <w:sz w:val="24"/>
          <w:lang w:val="en-GB"/>
        </w:rPr>
        <w:t xml:space="preserve">  </w:t>
      </w:r>
      <w:r w:rsidR="0033229C">
        <w:rPr>
          <w:rFonts w:ascii="Arial" w:hAnsi="Arial" w:cs="Arial"/>
          <w:b/>
          <w:bCs/>
          <w:snapToGrid w:val="0"/>
          <w:sz w:val="24"/>
          <w:lang w:val="en-GB"/>
        </w:rPr>
        <w:t xml:space="preserve"> </w:t>
      </w:r>
      <w:r w:rsidR="0033229C" w:rsidRPr="00461B19">
        <w:rPr>
          <w:rFonts w:ascii="Arial" w:hAnsi="Arial" w:cs="Arial" w:hint="eastAsia"/>
          <w:b/>
          <w:bCs/>
          <w:snapToGrid w:val="0"/>
          <w:sz w:val="24"/>
          <w:lang w:val="en-GB"/>
        </w:rPr>
        <w:t xml:space="preserve">   </w:t>
      </w:r>
      <w:r w:rsidR="0033229C">
        <w:rPr>
          <w:rFonts w:ascii="Arial" w:hAnsi="Arial" w:cs="Arial"/>
          <w:b/>
          <w:bCs/>
          <w:snapToGrid w:val="0"/>
          <w:sz w:val="24"/>
          <w:lang w:val="en-GB"/>
        </w:rPr>
        <w:tab/>
      </w:r>
      <w:r w:rsidR="0033229C">
        <w:rPr>
          <w:rFonts w:ascii="Arial" w:hAnsi="Arial" w:cs="Arial"/>
          <w:b/>
          <w:bCs/>
          <w:snapToGrid w:val="0"/>
          <w:sz w:val="24"/>
          <w:lang w:val="en-GB"/>
        </w:rPr>
        <w:tab/>
      </w:r>
      <w:r w:rsidR="0033229C" w:rsidRPr="00461B19">
        <w:rPr>
          <w:rFonts w:ascii="Arial" w:hAnsi="Arial" w:cs="Arial" w:hint="eastAsia"/>
          <w:b/>
          <w:bCs/>
          <w:snapToGrid w:val="0"/>
          <w:sz w:val="24"/>
          <w:lang w:val="en-GB"/>
        </w:rPr>
        <w:t xml:space="preserve"> </w:t>
      </w:r>
      <w:r w:rsidR="0033229C">
        <w:rPr>
          <w:rFonts w:ascii="Arial" w:hAnsi="Arial" w:cs="Arial"/>
          <w:b/>
          <w:bCs/>
          <w:snapToGrid w:val="0"/>
          <w:sz w:val="24"/>
          <w:lang w:val="en-GB"/>
        </w:rPr>
        <w:t xml:space="preserve">         </w:t>
      </w:r>
      <w:r>
        <w:rPr>
          <w:rFonts w:ascii="Arial" w:hAnsi="Arial" w:cs="Arial"/>
          <w:b/>
          <w:bCs/>
          <w:snapToGrid w:val="0"/>
          <w:sz w:val="24"/>
          <w:lang w:val="en-GB"/>
        </w:rPr>
        <w:t xml:space="preserve">            </w:t>
      </w:r>
      <w:r w:rsidR="0033229C">
        <w:rPr>
          <w:rFonts w:ascii="Arial" w:hAnsi="Arial" w:cs="Arial"/>
          <w:b/>
          <w:bCs/>
          <w:snapToGrid w:val="0"/>
          <w:sz w:val="24"/>
          <w:lang w:val="en-GB"/>
        </w:rPr>
        <w:t xml:space="preserve">  </w:t>
      </w:r>
      <w:r w:rsidR="0033229C" w:rsidRPr="00CA4B2A">
        <w:rPr>
          <w:rFonts w:ascii="Arial" w:hAnsi="Arial" w:cs="Arial"/>
          <w:b/>
          <w:bCs/>
          <w:snapToGrid w:val="0"/>
          <w:sz w:val="24"/>
          <w:lang w:val="en-GB"/>
        </w:rPr>
        <w:t>R1-</w:t>
      </w:r>
      <w:r w:rsidR="001A14C3" w:rsidRPr="001A14C3">
        <w:rPr>
          <w:rFonts w:ascii="Arial" w:hAnsi="Arial" w:cs="Arial"/>
          <w:b/>
          <w:bCs/>
          <w:snapToGrid w:val="0"/>
          <w:sz w:val="24"/>
          <w:lang w:val="en-GB"/>
        </w:rPr>
        <w:t>2301531</w:t>
      </w:r>
      <w:bookmarkStart w:id="0" w:name="_GoBack"/>
      <w:bookmarkEnd w:id="0"/>
    </w:p>
    <w:p w:rsidR="00E02E9E" w:rsidRPr="00151E6E" w:rsidRDefault="00151E6E" w:rsidP="00E02E9E">
      <w:pPr>
        <w:pBdr>
          <w:bottom w:val="single" w:sz="12" w:space="1" w:color="auto"/>
        </w:pBdr>
        <w:adjustRightInd w:val="0"/>
        <w:snapToGrid w:val="0"/>
        <w:spacing w:line="360" w:lineRule="auto"/>
        <w:rPr>
          <w:rFonts w:ascii="Arial" w:eastAsia="MS Mincho" w:hAnsi="Arial" w:cs="Arial"/>
          <w:b/>
          <w:bCs/>
          <w:sz w:val="24"/>
          <w:lang w:eastAsia="ja-JP"/>
        </w:rPr>
      </w:pPr>
      <w:r w:rsidRPr="00151E6E">
        <w:rPr>
          <w:rFonts w:ascii="Arial" w:eastAsia="MS Mincho" w:hAnsi="Arial" w:cs="Arial"/>
          <w:b/>
          <w:bCs/>
          <w:sz w:val="24"/>
          <w:lang w:eastAsia="ja-JP"/>
        </w:rPr>
        <w:t>Athens</w:t>
      </w:r>
      <w:r w:rsidR="00204684" w:rsidRPr="00EB5ACF">
        <w:rPr>
          <w:rFonts w:ascii="Arial" w:eastAsia="MS Mincho" w:hAnsi="Arial" w:cs="Arial"/>
          <w:b/>
          <w:bCs/>
          <w:sz w:val="24"/>
          <w:lang w:eastAsia="ja-JP"/>
        </w:rPr>
        <w:t xml:space="preserve">, </w:t>
      </w:r>
      <w:r w:rsidRPr="00151E6E">
        <w:rPr>
          <w:rFonts w:ascii="Arial" w:eastAsia="MS Mincho" w:hAnsi="Arial" w:cs="Arial"/>
          <w:b/>
          <w:bCs/>
          <w:sz w:val="24"/>
          <w:lang w:eastAsia="ja-JP"/>
        </w:rPr>
        <w:t>Greece</w:t>
      </w:r>
      <w:r w:rsidR="00204684" w:rsidRPr="00EB5ACF">
        <w:rPr>
          <w:rFonts w:ascii="Arial" w:eastAsia="MS Mincho" w:hAnsi="Arial" w:cs="Arial"/>
          <w:b/>
          <w:bCs/>
          <w:sz w:val="24"/>
          <w:lang w:eastAsia="ja-JP"/>
        </w:rPr>
        <w:t xml:space="preserve">, </w:t>
      </w:r>
      <w:r w:rsidRPr="00151E6E">
        <w:rPr>
          <w:rFonts w:ascii="Arial" w:eastAsia="MS Mincho" w:hAnsi="Arial" w:cs="Arial"/>
          <w:b/>
          <w:bCs/>
          <w:sz w:val="24"/>
          <w:lang w:eastAsia="ja-JP"/>
        </w:rPr>
        <w:t>February</w:t>
      </w:r>
      <w:r w:rsidR="00204684" w:rsidRPr="00EB5ACF">
        <w:rPr>
          <w:rFonts w:ascii="Arial" w:eastAsia="MS Mincho" w:hAnsi="Arial" w:cs="Arial"/>
          <w:b/>
          <w:bCs/>
          <w:sz w:val="24"/>
          <w:lang w:eastAsia="ja-JP"/>
        </w:rPr>
        <w:t xml:space="preserve"> </w:t>
      </w:r>
      <w:r w:rsidRPr="00151E6E">
        <w:rPr>
          <w:rFonts w:ascii="Arial" w:eastAsia="MS Mincho" w:hAnsi="Arial" w:cs="Arial" w:hint="eastAsia"/>
          <w:b/>
          <w:bCs/>
          <w:sz w:val="24"/>
          <w:lang w:eastAsia="ja-JP"/>
        </w:rPr>
        <w:t>27</w:t>
      </w:r>
      <w:r w:rsidRPr="00151E6E">
        <w:rPr>
          <w:rFonts w:ascii="Arial" w:eastAsia="MS Mincho" w:hAnsi="Arial" w:cs="Arial" w:hint="eastAsia"/>
          <w:b/>
          <w:bCs/>
          <w:sz w:val="24"/>
          <w:vertAlign w:val="superscript"/>
          <w:lang w:eastAsia="ja-JP"/>
        </w:rPr>
        <w:t>th</w:t>
      </w:r>
      <w:r>
        <w:rPr>
          <w:rFonts w:ascii="Arial" w:eastAsia="MS Mincho" w:hAnsi="Arial" w:cs="Arial"/>
          <w:b/>
          <w:bCs/>
          <w:sz w:val="24"/>
          <w:lang w:eastAsia="ja-JP"/>
        </w:rPr>
        <w:t xml:space="preserve"> </w:t>
      </w:r>
      <w:r w:rsidR="00204684" w:rsidRPr="00EB5ACF">
        <w:rPr>
          <w:rFonts w:ascii="Arial" w:eastAsia="MS Mincho" w:hAnsi="Arial" w:cs="Arial"/>
          <w:b/>
          <w:bCs/>
          <w:sz w:val="24"/>
          <w:lang w:eastAsia="ja-JP"/>
        </w:rPr>
        <w:t>–</w:t>
      </w:r>
      <w:r>
        <w:rPr>
          <w:rFonts w:ascii="Arial" w:eastAsia="MS Mincho" w:hAnsi="Arial" w:cs="Arial"/>
          <w:b/>
          <w:bCs/>
          <w:sz w:val="24"/>
          <w:lang w:eastAsia="ja-JP"/>
        </w:rPr>
        <w:t xml:space="preserve"> </w:t>
      </w:r>
      <w:r w:rsidRPr="00151E6E">
        <w:rPr>
          <w:rFonts w:ascii="Arial" w:eastAsia="MS Mincho" w:hAnsi="Arial" w:cs="Arial"/>
          <w:b/>
          <w:bCs/>
          <w:sz w:val="24"/>
          <w:lang w:eastAsia="ja-JP"/>
        </w:rPr>
        <w:t>March</w:t>
      </w:r>
      <w:r w:rsidRPr="00EB5ACF">
        <w:rPr>
          <w:rFonts w:ascii="Arial" w:eastAsia="MS Mincho" w:hAnsi="Arial" w:cs="Arial"/>
          <w:b/>
          <w:bCs/>
          <w:sz w:val="24"/>
          <w:lang w:eastAsia="ja-JP"/>
        </w:rPr>
        <w:t xml:space="preserve"> </w:t>
      </w:r>
      <w:r w:rsidRPr="00151E6E">
        <w:rPr>
          <w:rFonts w:ascii="Arial" w:eastAsia="MS Mincho" w:hAnsi="Arial" w:cs="Arial" w:hint="eastAsia"/>
          <w:b/>
          <w:bCs/>
          <w:sz w:val="24"/>
          <w:lang w:eastAsia="ja-JP"/>
        </w:rPr>
        <w:t>3</w:t>
      </w:r>
      <w:r w:rsidRPr="00151E6E">
        <w:rPr>
          <w:rFonts w:ascii="Arial" w:eastAsia="MS Mincho" w:hAnsi="Arial" w:cs="Arial" w:hint="eastAsia"/>
          <w:b/>
          <w:bCs/>
          <w:sz w:val="24"/>
          <w:vertAlign w:val="superscript"/>
          <w:lang w:eastAsia="ja-JP"/>
        </w:rPr>
        <w:t>rd</w:t>
      </w:r>
      <w:r w:rsidR="00204684">
        <w:rPr>
          <w:rFonts w:ascii="Arial" w:eastAsia="MS Mincho" w:hAnsi="Arial" w:cs="Arial"/>
          <w:b/>
          <w:bCs/>
          <w:sz w:val="24"/>
          <w:lang w:eastAsia="ja-JP"/>
        </w:rPr>
        <w:t>,</w:t>
      </w:r>
      <w:r w:rsidR="00204684" w:rsidRPr="00EB5ACF">
        <w:rPr>
          <w:rFonts w:ascii="Arial" w:eastAsia="MS Mincho" w:hAnsi="Arial" w:cs="Arial"/>
          <w:b/>
          <w:bCs/>
          <w:sz w:val="24"/>
          <w:lang w:eastAsia="ja-JP"/>
        </w:rPr>
        <w:t xml:space="preserve"> 202</w:t>
      </w:r>
      <w:r w:rsidRPr="00151E6E">
        <w:rPr>
          <w:rFonts w:ascii="Arial" w:eastAsia="MS Mincho" w:hAnsi="Arial" w:cs="Arial"/>
          <w:b/>
          <w:bCs/>
          <w:sz w:val="24"/>
          <w:lang w:eastAsia="ja-JP"/>
        </w:rPr>
        <w:t>3</w:t>
      </w:r>
    </w:p>
    <w:p w:rsidR="00800DDF" w:rsidRPr="00800DDF" w:rsidRDefault="00800DDF" w:rsidP="00424D77">
      <w:pPr>
        <w:widowControl/>
        <w:tabs>
          <w:tab w:val="left" w:pos="1985"/>
        </w:tabs>
        <w:wordWrap/>
        <w:autoSpaceDE/>
        <w:autoSpaceDN/>
        <w:spacing w:before="60" w:line="360" w:lineRule="atLeast"/>
        <w:ind w:left="1983" w:hangingChars="823" w:hanging="1983"/>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0E769D">
        <w:rPr>
          <w:rFonts w:ascii="Arial" w:eastAsia="MS Mincho" w:hAnsi="Arial"/>
          <w:kern w:val="0"/>
          <w:sz w:val="24"/>
          <w:szCs w:val="20"/>
          <w:lang w:eastAsia="en-US"/>
        </w:rPr>
        <w:t>5</w:t>
      </w:r>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LG Electronics</w:t>
      </w:r>
    </w:p>
    <w:p w:rsidR="00800DDF" w:rsidRPr="00800DDF" w:rsidRDefault="00800DDF" w:rsidP="00424D77">
      <w:pPr>
        <w:widowControl/>
        <w:tabs>
          <w:tab w:val="left" w:pos="1985"/>
        </w:tabs>
        <w:wordWrap/>
        <w:autoSpaceDE/>
        <w:autoSpaceDN/>
        <w:spacing w:before="60" w:line="360" w:lineRule="atLeast"/>
        <w:ind w:left="1983" w:hangingChars="823" w:hanging="1983"/>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204684" w:rsidRPr="00204684">
        <w:rPr>
          <w:rFonts w:ascii="Arial" w:eastAsia="맑은 고딕" w:hAnsi="Arial"/>
          <w:spacing w:val="-4"/>
          <w:kern w:val="0"/>
          <w:sz w:val="24"/>
          <w:szCs w:val="20"/>
        </w:rPr>
        <w:t xml:space="preserve">Discussion on </w:t>
      </w:r>
      <w:r w:rsidR="007B0684" w:rsidRPr="007B0684">
        <w:rPr>
          <w:rFonts w:ascii="Arial" w:eastAsia="맑은 고딕" w:hAnsi="Arial"/>
          <w:spacing w:val="-4"/>
          <w:kern w:val="0"/>
          <w:sz w:val="24"/>
          <w:szCs w:val="20"/>
        </w:rPr>
        <w:t>LS to RAN1 on CAPC for SL-U</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Discussion</w:t>
      </w:r>
      <w:bookmarkStart w:id="1" w:name="Source"/>
      <w:bookmarkStart w:id="2" w:name="Title"/>
      <w:bookmarkStart w:id="3" w:name="DocumentFor"/>
      <w:bookmarkEnd w:id="1"/>
      <w:bookmarkEnd w:id="2"/>
      <w:bookmarkEnd w:id="3"/>
      <w:r w:rsidRPr="00800DDF">
        <w:rPr>
          <w:rFonts w:ascii="Arial" w:hAnsi="Arial" w:hint="eastAsia"/>
          <w:kern w:val="0"/>
          <w:sz w:val="24"/>
          <w:szCs w:val="20"/>
        </w:rPr>
        <w:t xml:space="preserve"> and decision</w:t>
      </w:r>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7000D9" w:rsidRDefault="007000D9" w:rsidP="00AE658D">
      <w:pPr>
        <w:pStyle w:val="LGTdoc0"/>
        <w:spacing w:afterLines="0" w:after="0" w:line="240" w:lineRule="auto"/>
        <w:ind w:firstLine="425"/>
        <w:rPr>
          <w:rFonts w:ascii="Calibri" w:hAnsi="Calibri" w:cs="Calibri"/>
          <w:szCs w:val="22"/>
        </w:rPr>
      </w:pPr>
      <w:r>
        <w:rPr>
          <w:rFonts w:ascii="Calibri" w:hAnsi="Calibri" w:cs="Calibri"/>
          <w:szCs w:val="22"/>
        </w:rPr>
        <w:t xml:space="preserve">In this contribution, we will provide our view on the </w:t>
      </w:r>
      <w:r w:rsidR="00AE658D">
        <w:rPr>
          <w:rFonts w:ascii="Calibri" w:hAnsi="Calibri" w:cs="Calibri" w:hint="eastAsia"/>
          <w:szCs w:val="22"/>
        </w:rPr>
        <w:t>RAN2</w:t>
      </w:r>
      <w:r w:rsidR="00AE658D">
        <w:rPr>
          <w:rFonts w:ascii="Calibri" w:hAnsi="Calibri" w:cs="Calibri"/>
          <w:szCs w:val="22"/>
        </w:rPr>
        <w:t xml:space="preserve"> </w:t>
      </w:r>
      <w:r w:rsidR="00AE658D">
        <w:rPr>
          <w:rFonts w:ascii="Calibri" w:hAnsi="Calibri" w:cs="Calibri" w:hint="eastAsia"/>
          <w:szCs w:val="22"/>
        </w:rPr>
        <w:t>agreement</w:t>
      </w:r>
      <w:r w:rsidR="00AE658D">
        <w:rPr>
          <w:rFonts w:ascii="Calibri" w:hAnsi="Calibri" w:cs="Calibri"/>
          <w:szCs w:val="22"/>
        </w:rPr>
        <w:t xml:space="preserve"> </w:t>
      </w:r>
      <w:r w:rsidR="00AE658D">
        <w:rPr>
          <w:rFonts w:ascii="Calibri" w:hAnsi="Calibri" w:cs="Calibri" w:hint="eastAsia"/>
          <w:szCs w:val="22"/>
        </w:rPr>
        <w:t>related</w:t>
      </w:r>
      <w:r w:rsidR="00AE658D">
        <w:rPr>
          <w:rFonts w:ascii="Calibri" w:hAnsi="Calibri" w:cs="Calibri"/>
          <w:szCs w:val="22"/>
        </w:rPr>
        <w:t xml:space="preserve"> </w:t>
      </w:r>
      <w:r w:rsidR="00AE658D">
        <w:rPr>
          <w:rFonts w:ascii="Calibri" w:hAnsi="Calibri" w:cs="Calibri" w:hint="eastAsia"/>
          <w:szCs w:val="22"/>
        </w:rPr>
        <w:t>to</w:t>
      </w:r>
      <w:r w:rsidR="00AE658D">
        <w:rPr>
          <w:rFonts w:ascii="Calibri" w:hAnsi="Calibri" w:cs="Calibri"/>
          <w:szCs w:val="22"/>
        </w:rPr>
        <w:t xml:space="preserve"> </w:t>
      </w:r>
      <w:r w:rsidR="00AE658D">
        <w:rPr>
          <w:rFonts w:ascii="Calibri" w:hAnsi="Calibri" w:cs="Calibri" w:hint="eastAsia"/>
          <w:szCs w:val="22"/>
        </w:rPr>
        <w:t>the</w:t>
      </w:r>
      <w:r w:rsidR="00AE658D">
        <w:rPr>
          <w:rFonts w:ascii="Calibri" w:hAnsi="Calibri" w:cs="Calibri"/>
          <w:szCs w:val="22"/>
        </w:rPr>
        <w:t xml:space="preserve"> </w:t>
      </w:r>
      <w:r w:rsidR="00AE658D">
        <w:rPr>
          <w:rFonts w:ascii="Calibri" w:hAnsi="Calibri" w:cs="Calibri" w:hint="eastAsia"/>
          <w:szCs w:val="22"/>
        </w:rPr>
        <w:t>SL</w:t>
      </w:r>
      <w:r w:rsidR="00AE658D">
        <w:rPr>
          <w:rFonts w:ascii="Calibri" w:hAnsi="Calibri" w:cs="Calibri"/>
          <w:szCs w:val="22"/>
        </w:rPr>
        <w:t xml:space="preserve"> </w:t>
      </w:r>
      <w:r w:rsidR="00AE658D">
        <w:rPr>
          <w:rFonts w:ascii="Calibri" w:hAnsi="Calibri" w:cs="Calibri" w:hint="eastAsia"/>
          <w:szCs w:val="22"/>
        </w:rPr>
        <w:t>CAPC</w:t>
      </w:r>
      <w:r w:rsidR="00AE658D">
        <w:rPr>
          <w:rFonts w:ascii="Calibri" w:hAnsi="Calibri" w:cs="Calibri"/>
          <w:szCs w:val="22"/>
        </w:rPr>
        <w:t xml:space="preserve"> </w:t>
      </w:r>
      <w:r w:rsidR="00AE658D">
        <w:rPr>
          <w:rFonts w:ascii="Calibri" w:hAnsi="Calibri" w:cs="Calibri" w:hint="eastAsia"/>
          <w:szCs w:val="22"/>
        </w:rPr>
        <w:t>value</w:t>
      </w:r>
      <w:r w:rsidR="00AE658D">
        <w:rPr>
          <w:rFonts w:ascii="Calibri" w:hAnsi="Calibri" w:cs="Calibri"/>
          <w:szCs w:val="22"/>
        </w:rPr>
        <w:t xml:space="preserve"> </w:t>
      </w:r>
      <w:r w:rsidR="00AE658D">
        <w:rPr>
          <w:rFonts w:ascii="Calibri" w:hAnsi="Calibri" w:cs="Calibri" w:hint="eastAsia"/>
          <w:szCs w:val="22"/>
        </w:rPr>
        <w:t>of</w:t>
      </w:r>
      <w:r w:rsidR="00AE658D">
        <w:rPr>
          <w:rFonts w:ascii="Calibri" w:hAnsi="Calibri" w:cs="Calibri"/>
          <w:szCs w:val="22"/>
        </w:rPr>
        <w:t xml:space="preserve"> </w:t>
      </w:r>
      <w:r w:rsidR="00EE0D99">
        <w:rPr>
          <w:rFonts w:ascii="Calibri" w:hAnsi="Calibri" w:cs="Calibri"/>
          <w:szCs w:val="22"/>
        </w:rPr>
        <w:t xml:space="preserve">the </w:t>
      </w:r>
      <w:r w:rsidR="00AE658D">
        <w:rPr>
          <w:rFonts w:ascii="Calibri" w:hAnsi="Calibri" w:cs="Calibri" w:hint="eastAsia"/>
          <w:szCs w:val="22"/>
        </w:rPr>
        <w:t>S-SSB</w:t>
      </w:r>
      <w:r w:rsidRPr="00143B85">
        <w:rPr>
          <w:rFonts w:ascii="Calibri" w:hAnsi="Calibri" w:cs="Calibri"/>
          <w:szCs w:val="22"/>
        </w:rPr>
        <w:t xml:space="preserve"> </w:t>
      </w:r>
      <w:r w:rsidR="00475E3E">
        <w:rPr>
          <w:rFonts w:ascii="Calibri" w:hAnsi="Calibri" w:cs="Calibri"/>
          <w:szCs w:val="22"/>
        </w:rPr>
        <w:t xml:space="preserve">transmission </w:t>
      </w:r>
      <w:r>
        <w:rPr>
          <w:rFonts w:ascii="Calibri" w:hAnsi="Calibri" w:cs="Calibri"/>
          <w:szCs w:val="22"/>
        </w:rPr>
        <w:t>in RAN</w:t>
      </w:r>
      <w:r w:rsidR="00B415F8">
        <w:rPr>
          <w:rFonts w:ascii="Calibri" w:hAnsi="Calibri" w:cs="Calibri"/>
          <w:szCs w:val="22"/>
        </w:rPr>
        <w:t>2</w:t>
      </w:r>
      <w:r>
        <w:rPr>
          <w:rFonts w:ascii="Calibri" w:hAnsi="Calibri" w:cs="Calibri"/>
          <w:szCs w:val="22"/>
        </w:rPr>
        <w:t xml:space="preserve"> LS [1]. </w:t>
      </w:r>
    </w:p>
    <w:p w:rsidR="007000D9" w:rsidRPr="00144761" w:rsidRDefault="007000D9" w:rsidP="007000D9">
      <w:pPr>
        <w:pStyle w:val="LGTdoc0"/>
        <w:spacing w:afterLines="0" w:after="0" w:line="240" w:lineRule="auto"/>
        <w:ind w:firstLine="425"/>
        <w:rPr>
          <w:rFonts w:ascii="Calibri" w:hAnsi="Calibri" w:cs="Calibri"/>
          <w:szCs w:val="22"/>
        </w:rPr>
      </w:pPr>
    </w:p>
    <w:p w:rsidR="007000D9" w:rsidRPr="00E2332E" w:rsidRDefault="007000D9" w:rsidP="007000D9">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AE658D" w:rsidRDefault="00AE658D" w:rsidP="007000D9">
      <w:pPr>
        <w:pStyle w:val="LGTdoc0"/>
        <w:spacing w:afterLines="0" w:after="0" w:line="240" w:lineRule="auto"/>
        <w:ind w:firstLine="425"/>
        <w:rPr>
          <w:rFonts w:ascii="Calibri" w:hAnsi="Calibri" w:cs="Calibri"/>
          <w:szCs w:val="22"/>
        </w:rPr>
      </w:pPr>
      <w:r>
        <w:rPr>
          <w:rFonts w:ascii="Calibri" w:hAnsi="Calibri" w:cs="Calibri" w:hint="eastAsia"/>
          <w:szCs w:val="22"/>
        </w:rPr>
        <w:t>Regarding</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SL</w:t>
      </w:r>
      <w:r>
        <w:rPr>
          <w:rFonts w:ascii="Calibri" w:hAnsi="Calibri" w:cs="Calibri"/>
          <w:szCs w:val="22"/>
        </w:rPr>
        <w:t xml:space="preserve"> </w:t>
      </w:r>
      <w:r>
        <w:rPr>
          <w:rFonts w:ascii="Calibri" w:hAnsi="Calibri" w:cs="Calibri" w:hint="eastAsia"/>
          <w:szCs w:val="22"/>
        </w:rPr>
        <w:t>CAPC</w:t>
      </w:r>
      <w:r>
        <w:rPr>
          <w:rFonts w:ascii="Calibri" w:hAnsi="Calibri" w:cs="Calibri"/>
          <w:szCs w:val="22"/>
        </w:rPr>
        <w:t xml:space="preserve"> </w:t>
      </w:r>
      <w:r>
        <w:rPr>
          <w:rFonts w:ascii="Calibri" w:hAnsi="Calibri" w:cs="Calibri" w:hint="eastAsia"/>
          <w:szCs w:val="22"/>
        </w:rPr>
        <w:t>value</w:t>
      </w:r>
      <w:r>
        <w:rPr>
          <w:rFonts w:ascii="Calibri" w:hAnsi="Calibri" w:cs="Calibri"/>
          <w:szCs w:val="22"/>
        </w:rPr>
        <w:t xml:space="preserve"> </w:t>
      </w:r>
      <w:r>
        <w:rPr>
          <w:rFonts w:ascii="Calibri" w:hAnsi="Calibri" w:cs="Calibri" w:hint="eastAsia"/>
          <w:szCs w:val="22"/>
        </w:rPr>
        <w:t>below</w:t>
      </w:r>
      <w:r>
        <w:rPr>
          <w:rFonts w:ascii="Calibri" w:hAnsi="Calibri" w:cs="Calibri"/>
          <w:szCs w:val="22"/>
        </w:rPr>
        <w:t xml:space="preserve"> </w:t>
      </w:r>
      <w:r>
        <w:rPr>
          <w:rFonts w:ascii="Calibri" w:hAnsi="Calibri" w:cs="Calibri" w:hint="eastAsia"/>
          <w:szCs w:val="22"/>
        </w:rPr>
        <w:t>for</w:t>
      </w:r>
      <w:r>
        <w:rPr>
          <w:rFonts w:ascii="Calibri" w:hAnsi="Calibri" w:cs="Calibri"/>
          <w:szCs w:val="22"/>
        </w:rPr>
        <w:t xml:space="preserve"> </w:t>
      </w:r>
      <w:r>
        <w:rPr>
          <w:rFonts w:ascii="Calibri" w:hAnsi="Calibri" w:cs="Calibri" w:hint="eastAsia"/>
          <w:szCs w:val="22"/>
        </w:rPr>
        <w:t>the</w:t>
      </w:r>
      <w:r w:rsidRPr="00AE658D">
        <w:t xml:space="preserve"> </w:t>
      </w:r>
      <w:r w:rsidRPr="00AE658D">
        <w:rPr>
          <w:rFonts w:ascii="Calibri" w:hAnsi="Calibri" w:cs="Calibri"/>
          <w:szCs w:val="22"/>
        </w:rPr>
        <w:t xml:space="preserve">SBCCH SDU transmitted in </w:t>
      </w:r>
      <w:r w:rsidR="00EE0D99">
        <w:rPr>
          <w:rFonts w:ascii="Calibri" w:hAnsi="Calibri" w:cs="Calibri"/>
          <w:szCs w:val="22"/>
        </w:rPr>
        <w:t xml:space="preserve">the </w:t>
      </w:r>
      <w:r w:rsidRPr="00AE658D">
        <w:rPr>
          <w:rFonts w:ascii="Calibri" w:hAnsi="Calibri" w:cs="Calibri"/>
          <w:szCs w:val="22"/>
        </w:rPr>
        <w:t>S-SSB</w:t>
      </w:r>
      <w:r>
        <w:rPr>
          <w:rFonts w:ascii="Calibri" w:hAnsi="Calibri" w:cs="Calibri" w:hint="eastAsia"/>
          <w:szCs w:val="22"/>
        </w:rPr>
        <w:t xml:space="preserve"> on</w:t>
      </w:r>
      <w:r>
        <w:rPr>
          <w:rFonts w:ascii="Calibri" w:hAnsi="Calibri" w:cs="Calibri"/>
          <w:szCs w:val="22"/>
        </w:rPr>
        <w:t xml:space="preserve"> </w:t>
      </w:r>
      <w:r>
        <w:rPr>
          <w:rFonts w:ascii="Calibri" w:hAnsi="Calibri" w:cs="Calibri" w:hint="eastAsia"/>
          <w:szCs w:val="22"/>
        </w:rPr>
        <w:t>LS</w:t>
      </w:r>
      <w:r>
        <w:rPr>
          <w:rFonts w:ascii="Calibri" w:hAnsi="Calibri" w:cs="Calibri"/>
          <w:szCs w:val="22"/>
        </w:rPr>
        <w:t xml:space="preserve"> </w:t>
      </w:r>
      <w:r>
        <w:rPr>
          <w:rFonts w:ascii="Calibri" w:hAnsi="Calibri" w:cs="Calibri" w:hint="eastAsia"/>
          <w:szCs w:val="22"/>
        </w:rPr>
        <w:t>[1],</w:t>
      </w:r>
      <w:r>
        <w:rPr>
          <w:rFonts w:ascii="Calibri" w:hAnsi="Calibri" w:cs="Calibri"/>
          <w:szCs w:val="22"/>
        </w:rPr>
        <w:t xml:space="preserve"> </w:t>
      </w:r>
      <w:r w:rsidR="00E26000">
        <w:rPr>
          <w:rFonts w:ascii="Calibri" w:hAnsi="Calibri" w:cs="Calibri" w:hint="eastAsia"/>
          <w:szCs w:val="22"/>
        </w:rPr>
        <w:t>we</w:t>
      </w:r>
      <w:r w:rsidR="00E26000">
        <w:rPr>
          <w:rFonts w:ascii="Calibri" w:hAnsi="Calibri" w:cs="Calibri"/>
          <w:szCs w:val="22"/>
        </w:rPr>
        <w:t xml:space="preserve"> </w:t>
      </w:r>
      <w:r w:rsidR="00E26000">
        <w:rPr>
          <w:rFonts w:ascii="Calibri" w:hAnsi="Calibri" w:cs="Calibri" w:hint="eastAsia"/>
          <w:szCs w:val="22"/>
        </w:rPr>
        <w:t>think</w:t>
      </w:r>
      <w:r w:rsidR="00E26000">
        <w:rPr>
          <w:rFonts w:ascii="Calibri" w:hAnsi="Calibri" w:cs="Calibri"/>
          <w:szCs w:val="22"/>
        </w:rPr>
        <w:t xml:space="preserve"> </w:t>
      </w:r>
      <w:r w:rsidR="00EE0D99">
        <w:rPr>
          <w:rFonts w:ascii="Calibri" w:hAnsi="Calibri" w:cs="Calibri"/>
          <w:szCs w:val="22"/>
        </w:rPr>
        <w:t xml:space="preserve">that fixing the CAPC value of the S-SSB </w:t>
      </w:r>
      <w:r w:rsidR="00BA059C">
        <w:rPr>
          <w:rFonts w:ascii="Calibri" w:hAnsi="Calibri" w:cs="Calibri"/>
          <w:szCs w:val="22"/>
        </w:rPr>
        <w:t xml:space="preserve">transmission </w:t>
      </w:r>
      <w:r w:rsidR="00EE0D99">
        <w:rPr>
          <w:rFonts w:ascii="Calibri" w:hAnsi="Calibri" w:cs="Calibri"/>
          <w:szCs w:val="22"/>
        </w:rPr>
        <w:t>to “1” could have a disadvantage in that other SL transmissions having the CAPC value</w:t>
      </w:r>
      <w:r w:rsidR="00BA059C">
        <w:rPr>
          <w:rFonts w:ascii="Calibri" w:hAnsi="Calibri" w:cs="Calibri"/>
          <w:szCs w:val="22"/>
        </w:rPr>
        <w:t>s</w:t>
      </w:r>
      <w:r w:rsidR="00EE0D99">
        <w:rPr>
          <w:rFonts w:ascii="Calibri" w:hAnsi="Calibri" w:cs="Calibri"/>
          <w:szCs w:val="22"/>
        </w:rPr>
        <w:t xml:space="preserve"> greater than “1” cannot share the channel occupancy initiated by the S-SSB. </w:t>
      </w:r>
      <w:r w:rsidR="00D4453D">
        <w:rPr>
          <w:rFonts w:ascii="Calibri" w:hAnsi="Calibri" w:cs="Calibri"/>
          <w:szCs w:val="22"/>
        </w:rPr>
        <w:t xml:space="preserve">This means that the UE needs to newly perform the </w:t>
      </w:r>
      <w:r w:rsidR="00D4453D" w:rsidRPr="00D4453D">
        <w:rPr>
          <w:rFonts w:ascii="Calibri" w:hAnsi="Calibri" w:cs="Calibri"/>
          <w:szCs w:val="22"/>
        </w:rPr>
        <w:t>Type 1 channel access procedure</w:t>
      </w:r>
      <w:r w:rsidR="00D4453D">
        <w:rPr>
          <w:rFonts w:ascii="Calibri" w:hAnsi="Calibri" w:cs="Calibri"/>
          <w:szCs w:val="22"/>
        </w:rPr>
        <w:t xml:space="preserve"> for these other SL transmissions, which </w:t>
      </w:r>
      <w:r w:rsidR="00C01420">
        <w:rPr>
          <w:rFonts w:ascii="Calibri" w:hAnsi="Calibri" w:cs="Calibri"/>
          <w:szCs w:val="22"/>
        </w:rPr>
        <w:t xml:space="preserve">can </w:t>
      </w:r>
      <w:r w:rsidR="00D4453D">
        <w:rPr>
          <w:rFonts w:ascii="Calibri" w:hAnsi="Calibri" w:cs="Calibri"/>
          <w:szCs w:val="22"/>
        </w:rPr>
        <w:t xml:space="preserve">lead </w:t>
      </w:r>
      <w:r w:rsidR="00022E74">
        <w:rPr>
          <w:rFonts w:ascii="Calibri" w:hAnsi="Calibri" w:cs="Calibri"/>
          <w:szCs w:val="22"/>
        </w:rPr>
        <w:t xml:space="preserve">to </w:t>
      </w:r>
      <w:r w:rsidR="00D4453D">
        <w:rPr>
          <w:rFonts w:ascii="Calibri" w:hAnsi="Calibri" w:cs="Calibri"/>
          <w:szCs w:val="22"/>
        </w:rPr>
        <w:t xml:space="preserve">the overhead increment of the </w:t>
      </w:r>
      <w:r w:rsidR="00D4453D" w:rsidRPr="00D4453D">
        <w:rPr>
          <w:rFonts w:ascii="Calibri" w:hAnsi="Calibri" w:cs="Calibri"/>
          <w:szCs w:val="22"/>
        </w:rPr>
        <w:t>channel access procedure</w:t>
      </w:r>
      <w:r w:rsidR="00C01420">
        <w:rPr>
          <w:rFonts w:ascii="Calibri" w:hAnsi="Calibri" w:cs="Calibri"/>
          <w:szCs w:val="22"/>
        </w:rPr>
        <w:t xml:space="preserve"> and the omission of the transmissions due to the excess of latency requirement.</w:t>
      </w:r>
    </w:p>
    <w:p w:rsidR="00AE658D" w:rsidRPr="00C01420" w:rsidRDefault="00AE658D" w:rsidP="007000D9">
      <w:pPr>
        <w:pStyle w:val="LGTdoc0"/>
        <w:spacing w:afterLines="0" w:after="0" w:line="240" w:lineRule="auto"/>
        <w:ind w:firstLine="425"/>
        <w:rPr>
          <w:rFonts w:ascii="Calibri" w:hAnsi="Calibri" w:cs="Calibri"/>
          <w:szCs w:val="22"/>
        </w:rPr>
      </w:pPr>
    </w:p>
    <w:p w:rsidR="00AE658D" w:rsidRPr="00AE658D" w:rsidRDefault="00AE658D" w:rsidP="00AE658D">
      <w:pPr>
        <w:pStyle w:val="LGTdoc0"/>
        <w:numPr>
          <w:ilvl w:val="0"/>
          <w:numId w:val="34"/>
        </w:numPr>
        <w:spacing w:afterLines="0" w:after="0" w:line="240" w:lineRule="auto"/>
        <w:ind w:left="850" w:hanging="425"/>
        <w:rPr>
          <w:rFonts w:ascii="Calibri" w:hAnsi="Calibri" w:cs="Calibri"/>
          <w:szCs w:val="22"/>
          <w:lang w:val="en-US"/>
        </w:rPr>
      </w:pPr>
      <w:r w:rsidRPr="00AE658D">
        <w:rPr>
          <w:rFonts w:ascii="Calibri" w:hAnsi="Calibri" w:cs="Calibri"/>
          <w:szCs w:val="22"/>
          <w:lang w:val="en-US"/>
        </w:rPr>
        <w:t>The highest priority SL CAPC is used for SBCCH SDU transmission (if SL CAPC is applied to SBCCH SDU).</w:t>
      </w:r>
    </w:p>
    <w:p w:rsidR="00AE658D" w:rsidRPr="00876001" w:rsidRDefault="00AE658D" w:rsidP="00AE658D">
      <w:pPr>
        <w:pStyle w:val="LGTdoc0"/>
        <w:spacing w:afterLines="0" w:after="0" w:line="240" w:lineRule="auto"/>
        <w:ind w:left="851"/>
        <w:rPr>
          <w:rFonts w:ascii="Calibri" w:hAnsi="Calibri" w:cs="Calibri"/>
          <w:szCs w:val="22"/>
          <w:lang w:val="en-US"/>
        </w:rPr>
      </w:pPr>
    </w:p>
    <w:p w:rsidR="00AE658D" w:rsidRDefault="00EE0D99" w:rsidP="00EE0D99">
      <w:pPr>
        <w:pStyle w:val="LGTdoc0"/>
        <w:spacing w:afterLines="0" w:after="0" w:line="240" w:lineRule="auto"/>
        <w:rPr>
          <w:rFonts w:ascii="Calibri" w:hAnsi="Calibri" w:cs="Calibri"/>
          <w:szCs w:val="22"/>
          <w:lang w:val="en-US"/>
        </w:rPr>
      </w:pPr>
      <w:r>
        <w:rPr>
          <w:rFonts w:ascii="Calibri" w:hAnsi="Calibri" w:cs="Calibri" w:hint="eastAsia"/>
          <w:szCs w:val="22"/>
          <w:lang w:val="en-US"/>
        </w:rPr>
        <w:t xml:space="preserve">To be specific, </w:t>
      </w:r>
      <w:r w:rsidR="00D02F08">
        <w:rPr>
          <w:rFonts w:ascii="Calibri" w:hAnsi="Calibri" w:cs="Calibri"/>
          <w:szCs w:val="22"/>
          <w:lang w:val="en-US"/>
        </w:rPr>
        <w:t xml:space="preserve">in case of NR-U operation, according to the contents marked in yellow below in TS 37.213, the </w:t>
      </w:r>
      <w:proofErr w:type="spellStart"/>
      <w:r w:rsidR="00D02F08">
        <w:rPr>
          <w:rFonts w:ascii="Calibri" w:hAnsi="Calibri" w:cs="Calibri"/>
          <w:szCs w:val="22"/>
          <w:lang w:val="en-US"/>
        </w:rPr>
        <w:t>gNB</w:t>
      </w:r>
      <w:proofErr w:type="spellEnd"/>
      <w:r w:rsidR="00D02F08">
        <w:rPr>
          <w:rFonts w:ascii="Calibri" w:hAnsi="Calibri" w:cs="Calibri"/>
          <w:szCs w:val="22"/>
          <w:lang w:val="en-US"/>
        </w:rPr>
        <w:t xml:space="preserve"> is allowed to use any CAPC value for the SSB transmission, which can alleviate the above-</w:t>
      </w:r>
      <w:proofErr w:type="gramStart"/>
      <w:r w:rsidR="00D02F08">
        <w:rPr>
          <w:rFonts w:ascii="Calibri" w:hAnsi="Calibri" w:cs="Calibri"/>
          <w:szCs w:val="22"/>
          <w:lang w:val="en-US"/>
        </w:rPr>
        <w:t>mentioned</w:t>
      </w:r>
      <w:proofErr w:type="gramEnd"/>
      <w:r w:rsidR="00D02F08">
        <w:rPr>
          <w:rFonts w:ascii="Calibri" w:hAnsi="Calibri" w:cs="Calibri"/>
          <w:szCs w:val="22"/>
          <w:lang w:val="en-US"/>
        </w:rPr>
        <w:t xml:space="preserve"> issue.</w:t>
      </w:r>
      <w:r w:rsidR="00D4453D">
        <w:rPr>
          <w:rFonts w:ascii="Calibri" w:hAnsi="Calibri" w:cs="Calibri"/>
          <w:szCs w:val="22"/>
          <w:lang w:val="en-US"/>
        </w:rPr>
        <w:t xml:space="preserve"> </w:t>
      </w:r>
      <w:r w:rsidR="00112C90">
        <w:rPr>
          <w:rFonts w:ascii="Calibri" w:hAnsi="Calibri" w:cs="Calibri"/>
          <w:szCs w:val="22"/>
          <w:lang w:val="en-US"/>
        </w:rPr>
        <w:t>From a technical point of view, it would be desirable that the same principle applies to the SL-U operation as well.</w:t>
      </w:r>
    </w:p>
    <w:p w:rsidR="00EE0D99" w:rsidRDefault="00EE0D99" w:rsidP="00EE0D99">
      <w:pPr>
        <w:pStyle w:val="LGTdoc0"/>
        <w:spacing w:afterLines="0" w:after="0" w:line="240" w:lineRule="auto"/>
        <w:rPr>
          <w:rFonts w:ascii="Calibri" w:hAnsi="Calibri" w:cs="Calibri"/>
          <w:szCs w:val="22"/>
          <w:lang w:val="en-US"/>
        </w:rPr>
      </w:pPr>
    </w:p>
    <w:tbl>
      <w:tblPr>
        <w:tblStyle w:val="aa"/>
        <w:tblW w:w="0" w:type="auto"/>
        <w:jc w:val="center"/>
        <w:tblLook w:val="04A0" w:firstRow="1" w:lastRow="0" w:firstColumn="1" w:lastColumn="0" w:noHBand="0" w:noVBand="1"/>
      </w:tblPr>
      <w:tblGrid>
        <w:gridCol w:w="8642"/>
      </w:tblGrid>
      <w:tr w:rsidR="00EE0D99" w:rsidTr="00EE0D99">
        <w:trPr>
          <w:jc w:val="center"/>
        </w:trPr>
        <w:tc>
          <w:tcPr>
            <w:tcW w:w="8642" w:type="dxa"/>
          </w:tcPr>
          <w:p w:rsidR="00EE0D99" w:rsidRPr="00006D63" w:rsidRDefault="00EE0D99" w:rsidP="006247EE">
            <w:pPr>
              <w:pStyle w:val="LGTdoc0"/>
              <w:spacing w:afterLines="0" w:after="0" w:line="0" w:lineRule="atLeast"/>
              <w:rPr>
                <w:rFonts w:ascii="Arial" w:hAnsi="Arial" w:cs="Arial"/>
                <w:sz w:val="24"/>
                <w:lang w:val="en-US"/>
              </w:rPr>
            </w:pPr>
            <w:r w:rsidRPr="00006D63">
              <w:rPr>
                <w:rFonts w:ascii="Arial" w:hAnsi="Arial" w:cs="Arial"/>
                <w:sz w:val="24"/>
                <w:lang w:val="en-US"/>
              </w:rPr>
              <w:t>4.1.1</w:t>
            </w:r>
            <w:r w:rsidRPr="00006D63">
              <w:rPr>
                <w:rFonts w:ascii="Arial" w:hAnsi="Arial" w:cs="Arial"/>
                <w:sz w:val="24"/>
                <w:lang w:val="en-US"/>
              </w:rPr>
              <w:tab/>
              <w:t>Type 1 DL channel access procedures</w:t>
            </w:r>
          </w:p>
          <w:p w:rsidR="006247EE" w:rsidRPr="006247EE" w:rsidRDefault="006247EE" w:rsidP="006247EE">
            <w:pPr>
              <w:pStyle w:val="LGTdoc0"/>
              <w:spacing w:afterLines="0" w:after="0" w:line="0" w:lineRule="atLeast"/>
              <w:rPr>
                <w:rFonts w:ascii="Calibri" w:hAnsi="Calibri" w:cs="Calibri"/>
                <w:sz w:val="10"/>
                <w:szCs w:val="10"/>
                <w:lang w:val="en-US"/>
              </w:rPr>
            </w:pPr>
          </w:p>
          <w:p w:rsidR="00EE0D99" w:rsidRDefault="00EE0D99" w:rsidP="006247EE">
            <w:pPr>
              <w:pStyle w:val="LGTdoc0"/>
              <w:spacing w:afterLines="0" w:after="0" w:line="0" w:lineRule="atLeast"/>
              <w:rPr>
                <w:rFonts w:ascii="Calibri" w:hAnsi="Calibri" w:cs="Calibri"/>
                <w:szCs w:val="22"/>
                <w:lang w:val="en-US"/>
              </w:rPr>
            </w:pPr>
            <w:r>
              <w:rPr>
                <w:rFonts w:ascii="Calibri" w:hAnsi="Calibri" w:cs="Calibri"/>
                <w:szCs w:val="22"/>
                <w:lang w:val="en-US"/>
              </w:rPr>
              <w:t>[…]</w:t>
            </w:r>
          </w:p>
          <w:p w:rsidR="00EE0D99" w:rsidRPr="00006D63" w:rsidRDefault="00EE0D99" w:rsidP="006247EE">
            <w:pPr>
              <w:pStyle w:val="LGTdoc0"/>
              <w:spacing w:afterLines="0" w:after="0" w:line="0" w:lineRule="atLeast"/>
              <w:rPr>
                <w:sz w:val="10"/>
                <w:szCs w:val="10"/>
                <w:lang w:val="en-US"/>
              </w:rPr>
            </w:pPr>
          </w:p>
          <w:p w:rsidR="00EE0D99" w:rsidRPr="00EE0D99" w:rsidRDefault="00EE0D99" w:rsidP="006247EE">
            <w:pPr>
              <w:pStyle w:val="LGTdoc0"/>
              <w:spacing w:afterLines="0" w:after="0" w:line="0" w:lineRule="atLeast"/>
              <w:rPr>
                <w:rFonts w:ascii="Calibri" w:hAnsi="Calibri" w:cs="Calibri"/>
                <w:szCs w:val="22"/>
                <w:lang w:val="en-US"/>
              </w:rPr>
            </w:pPr>
            <w:r w:rsidRPr="00006D63">
              <w:rPr>
                <w:sz w:val="21"/>
                <w:szCs w:val="21"/>
                <w:highlight w:val="yellow"/>
                <w:lang w:val="en-US"/>
              </w:rPr>
              <w:t xml:space="preserve">A </w:t>
            </w:r>
            <w:proofErr w:type="spellStart"/>
            <w:r w:rsidRPr="00006D63">
              <w:rPr>
                <w:sz w:val="21"/>
                <w:szCs w:val="21"/>
                <w:highlight w:val="yellow"/>
                <w:lang w:val="en-US"/>
              </w:rPr>
              <w:t>gNB</w:t>
            </w:r>
            <w:proofErr w:type="spellEnd"/>
            <w:r w:rsidRPr="00006D63">
              <w:rPr>
                <w:sz w:val="21"/>
                <w:szCs w:val="21"/>
                <w:highlight w:val="yellow"/>
                <w:lang w:val="en-US"/>
              </w:rPr>
              <w:t xml:space="preserve"> may use any channel access priority class for performing the procedures above to transmit transmission(s) including discovery burst(s) satisfying the conditions described in this clause.</w:t>
            </w:r>
          </w:p>
        </w:tc>
      </w:tr>
    </w:tbl>
    <w:p w:rsidR="00AE658D" w:rsidRDefault="00AE658D" w:rsidP="007000D9">
      <w:pPr>
        <w:pStyle w:val="LGTdoc0"/>
        <w:spacing w:afterLines="0" w:after="0" w:line="240" w:lineRule="auto"/>
        <w:ind w:firstLine="425"/>
        <w:rPr>
          <w:rFonts w:ascii="Calibri" w:hAnsi="Calibri" w:cs="Calibri"/>
          <w:szCs w:val="22"/>
          <w:lang w:val="en-US"/>
        </w:rPr>
      </w:pPr>
    </w:p>
    <w:p w:rsidR="00255AFA" w:rsidRDefault="00255AFA" w:rsidP="00255AFA">
      <w:pPr>
        <w:pStyle w:val="LGTdoc0"/>
        <w:spacing w:afterLines="0" w:after="0" w:line="240" w:lineRule="auto"/>
        <w:rPr>
          <w:rFonts w:ascii="Calibri" w:hAnsi="Calibri" w:cs="Calibri"/>
          <w:b/>
          <w:i/>
          <w:szCs w:val="22"/>
        </w:rPr>
      </w:pPr>
      <w:r>
        <w:rPr>
          <w:rFonts w:ascii="Calibri" w:hAnsi="Calibri" w:cs="Calibri"/>
          <w:b/>
          <w:i/>
          <w:szCs w:val="22"/>
        </w:rPr>
        <w:t>Observation 1</w:t>
      </w:r>
      <w:r w:rsidRPr="005E6EFC">
        <w:rPr>
          <w:rFonts w:ascii="Calibri" w:hAnsi="Calibri" w:cs="Calibri"/>
          <w:b/>
          <w:i/>
          <w:szCs w:val="22"/>
        </w:rPr>
        <w:t>:</w:t>
      </w:r>
      <w:r>
        <w:rPr>
          <w:rFonts w:ascii="Calibri" w:hAnsi="Calibri" w:cs="Calibri"/>
          <w:b/>
          <w:i/>
          <w:szCs w:val="22"/>
        </w:rPr>
        <w:t xml:space="preserve"> If the CAPC value of the S-SSB transmission is fixed to “1”, there could be a disadvantage in that </w:t>
      </w:r>
      <w:r w:rsidRPr="00C62974">
        <w:rPr>
          <w:rFonts w:ascii="Calibri" w:hAnsi="Calibri" w:cs="Calibri"/>
          <w:b/>
          <w:i/>
          <w:szCs w:val="22"/>
        </w:rPr>
        <w:t>other SL transmissions having the CAPC value</w:t>
      </w:r>
      <w:r>
        <w:rPr>
          <w:rFonts w:ascii="Calibri" w:hAnsi="Calibri" w:cs="Calibri"/>
          <w:b/>
          <w:i/>
          <w:szCs w:val="22"/>
        </w:rPr>
        <w:t>s</w:t>
      </w:r>
      <w:r w:rsidRPr="00C62974">
        <w:rPr>
          <w:rFonts w:ascii="Calibri" w:hAnsi="Calibri" w:cs="Calibri"/>
          <w:b/>
          <w:i/>
          <w:szCs w:val="22"/>
        </w:rPr>
        <w:t xml:space="preserve"> greater than “1” cannot share the channel occupancy initiated by the S-SSB</w:t>
      </w:r>
      <w:r>
        <w:rPr>
          <w:rFonts w:ascii="Calibri" w:hAnsi="Calibri" w:cs="Calibri"/>
          <w:b/>
          <w:i/>
          <w:szCs w:val="22"/>
        </w:rPr>
        <w:t xml:space="preserve">, </w:t>
      </w:r>
      <w:r w:rsidRPr="00EF4EEB">
        <w:rPr>
          <w:rFonts w:ascii="Calibri" w:hAnsi="Calibri" w:cs="Calibri"/>
          <w:b/>
          <w:i/>
          <w:szCs w:val="22"/>
        </w:rPr>
        <w:t xml:space="preserve">which can lead to the overhead increment of the channel access procedure and the omission of </w:t>
      </w:r>
      <w:r>
        <w:rPr>
          <w:rFonts w:ascii="Calibri" w:hAnsi="Calibri" w:cs="Calibri"/>
          <w:b/>
          <w:i/>
          <w:szCs w:val="22"/>
        </w:rPr>
        <w:t>these other</w:t>
      </w:r>
      <w:r w:rsidRPr="00EF4EEB">
        <w:rPr>
          <w:rFonts w:ascii="Calibri" w:hAnsi="Calibri" w:cs="Calibri"/>
          <w:b/>
          <w:i/>
          <w:szCs w:val="22"/>
        </w:rPr>
        <w:t xml:space="preserve"> transmissions due to the excess of latency requirement</w:t>
      </w:r>
      <w:r>
        <w:rPr>
          <w:rFonts w:ascii="Calibri" w:hAnsi="Calibri" w:cs="Calibri"/>
          <w:b/>
          <w:i/>
          <w:szCs w:val="22"/>
        </w:rPr>
        <w:t>.</w:t>
      </w:r>
    </w:p>
    <w:p w:rsidR="00255AFA" w:rsidRPr="00AE658D" w:rsidRDefault="00255AFA" w:rsidP="007000D9">
      <w:pPr>
        <w:pStyle w:val="LGTdoc0"/>
        <w:spacing w:afterLines="0" w:after="0" w:line="240" w:lineRule="auto"/>
        <w:ind w:firstLine="425"/>
        <w:rPr>
          <w:rFonts w:ascii="Calibri" w:hAnsi="Calibri" w:cs="Calibri"/>
          <w:szCs w:val="22"/>
          <w:lang w:val="en-US"/>
        </w:rPr>
      </w:pPr>
    </w:p>
    <w:p w:rsidR="00AE658D" w:rsidRDefault="003E060B" w:rsidP="00F733E3">
      <w:pPr>
        <w:pStyle w:val="LGTdoc0"/>
        <w:spacing w:afterLines="0" w:after="0" w:line="240" w:lineRule="auto"/>
        <w:ind w:firstLine="425"/>
        <w:rPr>
          <w:rFonts w:ascii="Calibri" w:hAnsi="Calibri" w:cs="Calibri"/>
          <w:szCs w:val="22"/>
        </w:rPr>
      </w:pPr>
      <w:r>
        <w:rPr>
          <w:rFonts w:ascii="Calibri" w:hAnsi="Calibri" w:cs="Calibri"/>
          <w:szCs w:val="22"/>
        </w:rPr>
        <w:t>I</w:t>
      </w:r>
      <w:r>
        <w:rPr>
          <w:rFonts w:ascii="Calibri" w:hAnsi="Calibri" w:cs="Calibri" w:hint="eastAsia"/>
          <w:szCs w:val="22"/>
        </w:rPr>
        <w:t xml:space="preserve">n </w:t>
      </w:r>
      <w:r>
        <w:rPr>
          <w:rFonts w:ascii="Calibri" w:hAnsi="Calibri" w:cs="Calibri"/>
          <w:szCs w:val="22"/>
        </w:rPr>
        <w:t xml:space="preserve">addition, </w:t>
      </w:r>
      <w:r w:rsidR="009F0A0D">
        <w:rPr>
          <w:rFonts w:ascii="Calibri" w:hAnsi="Calibri" w:cs="Calibri"/>
          <w:szCs w:val="22"/>
        </w:rPr>
        <w:t>since t</w:t>
      </w:r>
      <w:r w:rsidR="00F733E3">
        <w:rPr>
          <w:rFonts w:ascii="Calibri" w:hAnsi="Calibri" w:cs="Calibri"/>
          <w:szCs w:val="22"/>
        </w:rPr>
        <w:t xml:space="preserve">he RAN2 agreement mentioned above covers only the setting of </w:t>
      </w:r>
      <w:r w:rsidR="0028620C">
        <w:rPr>
          <w:rFonts w:ascii="Calibri" w:hAnsi="Calibri" w:cs="Calibri"/>
          <w:szCs w:val="22"/>
        </w:rPr>
        <w:t xml:space="preserve">the </w:t>
      </w:r>
      <w:r w:rsidR="00F733E3">
        <w:rPr>
          <w:rFonts w:ascii="Calibri" w:hAnsi="Calibri" w:cs="Calibri"/>
          <w:szCs w:val="22"/>
        </w:rPr>
        <w:t>CAPC value for the PSBCH transmission</w:t>
      </w:r>
      <w:r w:rsidR="004E7DE1">
        <w:rPr>
          <w:rFonts w:ascii="Calibri" w:hAnsi="Calibri" w:cs="Calibri"/>
          <w:szCs w:val="22"/>
        </w:rPr>
        <w:t xml:space="preserve"> (i.e., </w:t>
      </w:r>
      <w:r w:rsidR="004E7DE1" w:rsidRPr="004E7DE1">
        <w:rPr>
          <w:rFonts w:ascii="Calibri" w:hAnsi="Calibri" w:cs="Calibri"/>
          <w:szCs w:val="22"/>
        </w:rPr>
        <w:t>SBCCH SDU)</w:t>
      </w:r>
      <w:r w:rsidR="00F733E3">
        <w:rPr>
          <w:rFonts w:ascii="Calibri" w:hAnsi="Calibri" w:cs="Calibri"/>
          <w:szCs w:val="22"/>
        </w:rPr>
        <w:t>, further clarification is needed on how to set the CAPC value</w:t>
      </w:r>
      <w:r w:rsidR="00B50FCA">
        <w:rPr>
          <w:rFonts w:ascii="Calibri" w:hAnsi="Calibri" w:cs="Calibri"/>
          <w:szCs w:val="22"/>
        </w:rPr>
        <w:t>s</w:t>
      </w:r>
      <w:r w:rsidR="00F733E3">
        <w:rPr>
          <w:rFonts w:ascii="Calibri" w:hAnsi="Calibri" w:cs="Calibri"/>
          <w:szCs w:val="22"/>
        </w:rPr>
        <w:t xml:space="preserve"> related to the S-PSS/S-SSS transmissions. </w:t>
      </w:r>
    </w:p>
    <w:p w:rsidR="00B50FCA" w:rsidRPr="007C4517" w:rsidRDefault="00B50FCA" w:rsidP="00C62974">
      <w:pPr>
        <w:pStyle w:val="LGTdoc0"/>
        <w:spacing w:afterLines="0" w:after="0" w:line="240" w:lineRule="auto"/>
        <w:rPr>
          <w:rFonts w:ascii="Calibri" w:hAnsi="Calibri" w:cs="Calibri"/>
          <w:b/>
          <w:i/>
          <w:szCs w:val="22"/>
        </w:rPr>
      </w:pPr>
    </w:p>
    <w:p w:rsidR="00B50FCA" w:rsidRDefault="00B50FCA" w:rsidP="00C62974">
      <w:pPr>
        <w:pStyle w:val="LGTdoc0"/>
        <w:spacing w:afterLines="0" w:after="0" w:line="240" w:lineRule="auto"/>
        <w:rPr>
          <w:rFonts w:ascii="Calibri" w:hAnsi="Calibri" w:cs="Calibri"/>
          <w:b/>
          <w:i/>
          <w:szCs w:val="22"/>
        </w:rPr>
      </w:pPr>
      <w:r>
        <w:rPr>
          <w:rFonts w:ascii="Calibri" w:hAnsi="Calibri" w:cs="Calibri"/>
          <w:b/>
          <w:i/>
          <w:szCs w:val="22"/>
        </w:rPr>
        <w:t xml:space="preserve">Observation 2: Further clarification is needed for the setting of the CAPC values of the S-PSS/S-SSS transmissions that are not covered by the RAN2 agreement. </w:t>
      </w:r>
    </w:p>
    <w:p w:rsidR="00BC6C4D" w:rsidRPr="00BC6C4D" w:rsidRDefault="00BC6C4D" w:rsidP="003E060B">
      <w:pPr>
        <w:pStyle w:val="LGTdoc0"/>
        <w:spacing w:afterLines="0" w:after="0" w:line="240" w:lineRule="auto"/>
        <w:rPr>
          <w:rFonts w:ascii="Calibri" w:hAnsi="Calibri" w:cs="Calibri"/>
          <w:szCs w:val="22"/>
        </w:rPr>
      </w:pPr>
    </w:p>
    <w:p w:rsidR="00047F4E" w:rsidRDefault="00047F4E" w:rsidP="00047F4E">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RAN1</w:t>
      </w:r>
      <w:r>
        <w:rPr>
          <w:rFonts w:ascii="Calibri" w:hAnsi="Calibri" w:cs="Calibri"/>
          <w:b/>
          <w:i/>
          <w:szCs w:val="22"/>
        </w:rPr>
        <w:t xml:space="preserve"> </w:t>
      </w:r>
      <w:r>
        <w:rPr>
          <w:rFonts w:ascii="Calibri" w:hAnsi="Calibri" w:cs="Calibri" w:hint="eastAsia"/>
          <w:b/>
          <w:i/>
          <w:szCs w:val="22"/>
        </w:rPr>
        <w:t>provides</w:t>
      </w:r>
      <w:r>
        <w:rPr>
          <w:rFonts w:ascii="Calibri" w:hAnsi="Calibri" w:cs="Calibri"/>
          <w:b/>
          <w:i/>
          <w:szCs w:val="22"/>
        </w:rPr>
        <w:t xml:space="preserve"> a </w:t>
      </w:r>
      <w:r>
        <w:rPr>
          <w:rFonts w:ascii="Calibri" w:hAnsi="Calibri" w:cs="Calibri" w:hint="eastAsia"/>
          <w:b/>
          <w:i/>
          <w:szCs w:val="22"/>
        </w:rPr>
        <w:t>fee</w:t>
      </w:r>
      <w:r>
        <w:rPr>
          <w:rFonts w:ascii="Calibri" w:hAnsi="Calibri" w:cs="Calibri"/>
          <w:b/>
          <w:i/>
          <w:szCs w:val="22"/>
        </w:rPr>
        <w:t>d</w:t>
      </w:r>
      <w:r>
        <w:rPr>
          <w:rFonts w:ascii="Calibri" w:hAnsi="Calibri" w:cs="Calibri" w:hint="eastAsia"/>
          <w:b/>
          <w:i/>
          <w:szCs w:val="22"/>
        </w:rPr>
        <w:t xml:space="preserve">back </w:t>
      </w:r>
      <w:r>
        <w:rPr>
          <w:rFonts w:ascii="Calibri" w:hAnsi="Calibri" w:cs="Calibri"/>
          <w:b/>
          <w:i/>
          <w:szCs w:val="22"/>
        </w:rPr>
        <w:t xml:space="preserve">on the </w:t>
      </w:r>
      <w:r w:rsidRPr="00047F4E">
        <w:rPr>
          <w:rFonts w:ascii="Calibri" w:hAnsi="Calibri" w:cs="Calibri"/>
          <w:b/>
          <w:i/>
          <w:szCs w:val="22"/>
        </w:rPr>
        <w:t xml:space="preserve">RAN2 agreement related to </w:t>
      </w:r>
      <w:r>
        <w:rPr>
          <w:rFonts w:ascii="Calibri" w:hAnsi="Calibri" w:cs="Calibri"/>
          <w:b/>
          <w:i/>
          <w:szCs w:val="22"/>
        </w:rPr>
        <w:t xml:space="preserve">the </w:t>
      </w:r>
      <w:r w:rsidRPr="00047F4E">
        <w:rPr>
          <w:rFonts w:ascii="Calibri" w:hAnsi="Calibri" w:cs="Calibri"/>
          <w:b/>
          <w:i/>
          <w:szCs w:val="22"/>
        </w:rPr>
        <w:t xml:space="preserve">SL CAPC value </w:t>
      </w:r>
      <w:r w:rsidR="00FD5D5A">
        <w:rPr>
          <w:rFonts w:ascii="Calibri" w:hAnsi="Calibri" w:cs="Calibri"/>
          <w:b/>
          <w:i/>
          <w:szCs w:val="22"/>
        </w:rPr>
        <w:t>of</w:t>
      </w:r>
      <w:r w:rsidRPr="00047F4E">
        <w:rPr>
          <w:rFonts w:ascii="Calibri" w:hAnsi="Calibri" w:cs="Calibri"/>
          <w:b/>
          <w:i/>
          <w:szCs w:val="22"/>
        </w:rPr>
        <w:t xml:space="preserve"> the S-SSB</w:t>
      </w:r>
      <w:r w:rsidR="00FD5D5A">
        <w:rPr>
          <w:rFonts w:ascii="Calibri" w:hAnsi="Calibri" w:cs="Calibri"/>
          <w:b/>
          <w:i/>
          <w:szCs w:val="22"/>
        </w:rPr>
        <w:t xml:space="preserve"> transmission</w:t>
      </w:r>
      <w:r w:rsidRPr="00047F4E">
        <w:rPr>
          <w:rFonts w:ascii="Calibri" w:hAnsi="Calibri" w:cs="Calibri" w:hint="eastAsia"/>
          <w:b/>
          <w:i/>
          <w:szCs w:val="22"/>
        </w:rPr>
        <w:t xml:space="preserve"> </w:t>
      </w:r>
      <w:r>
        <w:rPr>
          <w:rFonts w:ascii="Calibri" w:hAnsi="Calibri" w:cs="Calibri"/>
          <w:b/>
          <w:i/>
          <w:szCs w:val="22"/>
        </w:rPr>
        <w:t xml:space="preserve">on </w:t>
      </w:r>
      <w:r>
        <w:rPr>
          <w:rFonts w:ascii="Calibri" w:hAnsi="Calibri" w:cs="Calibri" w:hint="eastAsia"/>
          <w:b/>
          <w:i/>
          <w:szCs w:val="22"/>
        </w:rPr>
        <w:t>LS</w:t>
      </w:r>
      <w:r>
        <w:rPr>
          <w:rFonts w:ascii="Calibri" w:hAnsi="Calibri" w:cs="Calibri"/>
          <w:b/>
          <w:i/>
          <w:szCs w:val="22"/>
        </w:rPr>
        <w:t xml:space="preserve"> </w:t>
      </w:r>
      <w:r>
        <w:rPr>
          <w:rFonts w:ascii="Calibri" w:hAnsi="Calibri" w:cs="Calibri" w:hint="eastAsia"/>
          <w:b/>
          <w:i/>
          <w:szCs w:val="22"/>
        </w:rPr>
        <w:t>[1]</w:t>
      </w:r>
      <w:r>
        <w:rPr>
          <w:rFonts w:ascii="Calibri" w:hAnsi="Calibri" w:cs="Calibri"/>
          <w:b/>
          <w:i/>
          <w:szCs w:val="22"/>
        </w:rPr>
        <w:t xml:space="preserve"> </w:t>
      </w:r>
      <w:r>
        <w:rPr>
          <w:rFonts w:ascii="Calibri" w:hAnsi="Calibri" w:cs="Calibri" w:hint="eastAsia"/>
          <w:b/>
          <w:i/>
          <w:szCs w:val="22"/>
        </w:rPr>
        <w:t>as</w:t>
      </w:r>
      <w:r>
        <w:rPr>
          <w:rFonts w:ascii="Calibri" w:hAnsi="Calibri" w:cs="Calibri"/>
          <w:b/>
          <w:i/>
          <w:szCs w:val="22"/>
        </w:rPr>
        <w:t xml:space="preserve"> </w:t>
      </w:r>
      <w:r>
        <w:rPr>
          <w:rFonts w:ascii="Calibri" w:hAnsi="Calibri" w:cs="Calibri" w:hint="eastAsia"/>
          <w:b/>
          <w:i/>
          <w:szCs w:val="22"/>
        </w:rPr>
        <w:t>follows:</w:t>
      </w:r>
    </w:p>
    <w:p w:rsidR="00047F4E" w:rsidRDefault="0084722A" w:rsidP="0084722A">
      <w:pPr>
        <w:pStyle w:val="LGTdoc0"/>
        <w:numPr>
          <w:ilvl w:val="0"/>
          <w:numId w:val="38"/>
        </w:numPr>
        <w:spacing w:afterLines="0" w:after="0" w:line="240" w:lineRule="auto"/>
        <w:rPr>
          <w:rFonts w:ascii="Calibri" w:hAnsi="Calibri" w:cs="Calibri"/>
          <w:b/>
          <w:i/>
          <w:szCs w:val="22"/>
        </w:rPr>
      </w:pPr>
      <w:r>
        <w:rPr>
          <w:rFonts w:ascii="Calibri" w:hAnsi="Calibri" w:cs="Calibri" w:hint="eastAsia"/>
          <w:b/>
          <w:i/>
          <w:szCs w:val="22"/>
        </w:rPr>
        <w:t xml:space="preserve">From the </w:t>
      </w:r>
      <w:r>
        <w:rPr>
          <w:rFonts w:ascii="Calibri" w:hAnsi="Calibri" w:cs="Calibri"/>
          <w:b/>
          <w:i/>
          <w:szCs w:val="22"/>
        </w:rPr>
        <w:t xml:space="preserve">perspective of </w:t>
      </w:r>
      <w:r>
        <w:rPr>
          <w:rFonts w:ascii="Calibri" w:hAnsi="Calibri" w:cs="Calibri" w:hint="eastAsia"/>
          <w:b/>
          <w:i/>
          <w:szCs w:val="22"/>
        </w:rPr>
        <w:t>RAN</w:t>
      </w:r>
      <w:r>
        <w:rPr>
          <w:rFonts w:ascii="Calibri" w:hAnsi="Calibri" w:cs="Calibri"/>
          <w:b/>
          <w:i/>
          <w:szCs w:val="22"/>
        </w:rPr>
        <w:t xml:space="preserve">1, it is preferred that the UE use any CAPC value for the S-SSB </w:t>
      </w:r>
      <w:r>
        <w:rPr>
          <w:rFonts w:ascii="Calibri" w:hAnsi="Calibri" w:cs="Calibri"/>
          <w:b/>
          <w:i/>
          <w:szCs w:val="22"/>
        </w:rPr>
        <w:lastRenderedPageBreak/>
        <w:t xml:space="preserve">transmission, which is aligned with the principle applied to NR-U operation. </w:t>
      </w:r>
    </w:p>
    <w:p w:rsidR="001051A8" w:rsidRPr="00330DFD" w:rsidRDefault="001051A8" w:rsidP="00B17CA1">
      <w:pPr>
        <w:pStyle w:val="LGTdoc0"/>
        <w:spacing w:afterLines="0" w:after="0" w:line="240" w:lineRule="auto"/>
        <w:rPr>
          <w:rFonts w:ascii="Calibri" w:hAnsi="Calibri" w:cs="Calibri"/>
          <w:szCs w:val="22"/>
        </w:rPr>
      </w:pPr>
    </w:p>
    <w:p w:rsidR="007000D9" w:rsidRPr="00947CAD" w:rsidRDefault="007000D9" w:rsidP="007000D9">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7000D9" w:rsidRPr="004B6847" w:rsidRDefault="007000D9" w:rsidP="00F81EDD">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Pr>
          <w:rFonts w:ascii="Calibri" w:hAnsi="Calibri" w:cs="Calibri"/>
          <w:szCs w:val="22"/>
        </w:rPr>
        <w:t>we discussed how RAN1 provides feedback</w:t>
      </w:r>
      <w:r>
        <w:rPr>
          <w:rFonts w:ascii="Calibri" w:hAnsi="Calibri" w:cs="Calibri" w:hint="eastAsia"/>
          <w:szCs w:val="22"/>
        </w:rPr>
        <w:t>s</w:t>
      </w:r>
      <w:r>
        <w:rPr>
          <w:rFonts w:ascii="Calibri" w:hAnsi="Calibri" w:cs="Calibri"/>
          <w:szCs w:val="22"/>
        </w:rPr>
        <w:t xml:space="preserve"> on </w:t>
      </w:r>
      <w:r w:rsidR="00F81EDD" w:rsidRPr="00F81EDD">
        <w:rPr>
          <w:rFonts w:ascii="Calibri" w:hAnsi="Calibri" w:cs="Calibri"/>
          <w:szCs w:val="22"/>
        </w:rPr>
        <w:t>the RAN2 agreement related to the SL CAPC value of the S-SSB transmission</w:t>
      </w:r>
      <w:r>
        <w:rPr>
          <w:rFonts w:ascii="Calibri" w:hAnsi="Calibri" w:cs="Calibri"/>
          <w:szCs w:val="22"/>
        </w:rPr>
        <w:t xml:space="preserve"> in LS [1].</w:t>
      </w:r>
      <w:r w:rsidRPr="0038253B">
        <w:rPr>
          <w:rFonts w:ascii="Calibri" w:hAnsi="Calibri" w:cs="Calibri"/>
          <w:szCs w:val="22"/>
        </w:rPr>
        <w:t xml:space="preserve"> The following </w:t>
      </w:r>
      <w:r w:rsidR="009A7051">
        <w:rPr>
          <w:rFonts w:ascii="Calibri" w:hAnsi="Calibri" w:cs="Calibri"/>
          <w:szCs w:val="22"/>
        </w:rPr>
        <w:t>observation</w:t>
      </w:r>
      <w:r w:rsidR="00376A7C">
        <w:rPr>
          <w:rFonts w:ascii="Calibri" w:hAnsi="Calibri" w:cs="Calibri"/>
          <w:szCs w:val="22"/>
        </w:rPr>
        <w:t>s</w:t>
      </w:r>
      <w:r w:rsidR="009A7051">
        <w:rPr>
          <w:rFonts w:ascii="Calibri" w:hAnsi="Calibri" w:cs="Calibri"/>
          <w:szCs w:val="22"/>
        </w:rPr>
        <w:t xml:space="preserve"> and </w:t>
      </w:r>
      <w:r w:rsidRPr="0038253B">
        <w:rPr>
          <w:rFonts w:ascii="Calibri" w:hAnsi="Calibri" w:cs="Calibri"/>
          <w:szCs w:val="22"/>
        </w:rPr>
        <w:t xml:space="preserve">proposal </w:t>
      </w:r>
      <w:r w:rsidR="00D31765">
        <w:rPr>
          <w:rFonts w:ascii="Calibri" w:hAnsi="Calibri" w:cs="Calibri"/>
          <w:szCs w:val="22"/>
        </w:rPr>
        <w:t>are</w:t>
      </w:r>
      <w:r w:rsidRPr="0038253B">
        <w:rPr>
          <w:rFonts w:ascii="Calibri" w:hAnsi="Calibri" w:cs="Calibri"/>
          <w:szCs w:val="22"/>
        </w:rPr>
        <w:t xml:space="preserve"> given.</w:t>
      </w:r>
    </w:p>
    <w:p w:rsidR="007000D9" w:rsidRDefault="007000D9" w:rsidP="007000D9">
      <w:pPr>
        <w:pStyle w:val="LGTdoc0"/>
        <w:spacing w:afterLines="0" w:after="0" w:line="240" w:lineRule="auto"/>
        <w:rPr>
          <w:rFonts w:ascii="Calibri" w:hAnsi="Calibri" w:cs="Calibri"/>
          <w:b/>
          <w:i/>
          <w:szCs w:val="22"/>
        </w:rPr>
      </w:pPr>
    </w:p>
    <w:p w:rsidR="00431545" w:rsidRDefault="00431545" w:rsidP="00431545">
      <w:pPr>
        <w:pStyle w:val="LGTdoc0"/>
        <w:spacing w:afterLines="0" w:after="0" w:line="240" w:lineRule="auto"/>
        <w:rPr>
          <w:rFonts w:ascii="Calibri" w:hAnsi="Calibri" w:cs="Calibri"/>
          <w:b/>
          <w:i/>
          <w:szCs w:val="22"/>
        </w:rPr>
      </w:pPr>
      <w:r>
        <w:rPr>
          <w:rFonts w:ascii="Calibri" w:hAnsi="Calibri" w:cs="Calibri"/>
          <w:b/>
          <w:i/>
          <w:szCs w:val="22"/>
        </w:rPr>
        <w:t>Observation 1</w:t>
      </w:r>
      <w:r w:rsidRPr="005E6EFC">
        <w:rPr>
          <w:rFonts w:ascii="Calibri" w:hAnsi="Calibri" w:cs="Calibri"/>
          <w:b/>
          <w:i/>
          <w:szCs w:val="22"/>
        </w:rPr>
        <w:t>:</w:t>
      </w:r>
      <w:r>
        <w:rPr>
          <w:rFonts w:ascii="Calibri" w:hAnsi="Calibri" w:cs="Calibri"/>
          <w:b/>
          <w:i/>
          <w:szCs w:val="22"/>
        </w:rPr>
        <w:t xml:space="preserve"> If the CAPC value of the S-SSB transmission is fixed to “1”, there could be a disadvantage in that </w:t>
      </w:r>
      <w:r w:rsidRPr="00C62974">
        <w:rPr>
          <w:rFonts w:ascii="Calibri" w:hAnsi="Calibri" w:cs="Calibri"/>
          <w:b/>
          <w:i/>
          <w:szCs w:val="22"/>
        </w:rPr>
        <w:t>other SL transmissions having the CAPC value</w:t>
      </w:r>
      <w:r>
        <w:rPr>
          <w:rFonts w:ascii="Calibri" w:hAnsi="Calibri" w:cs="Calibri"/>
          <w:b/>
          <w:i/>
          <w:szCs w:val="22"/>
        </w:rPr>
        <w:t>s</w:t>
      </w:r>
      <w:r w:rsidRPr="00C62974">
        <w:rPr>
          <w:rFonts w:ascii="Calibri" w:hAnsi="Calibri" w:cs="Calibri"/>
          <w:b/>
          <w:i/>
          <w:szCs w:val="22"/>
        </w:rPr>
        <w:t xml:space="preserve"> greater than “1” cannot share the channel occupancy initiated by the S-SSB</w:t>
      </w:r>
      <w:r>
        <w:rPr>
          <w:rFonts w:ascii="Calibri" w:hAnsi="Calibri" w:cs="Calibri"/>
          <w:b/>
          <w:i/>
          <w:szCs w:val="22"/>
        </w:rPr>
        <w:t xml:space="preserve">, </w:t>
      </w:r>
      <w:r w:rsidRPr="00EF4EEB">
        <w:rPr>
          <w:rFonts w:ascii="Calibri" w:hAnsi="Calibri" w:cs="Calibri"/>
          <w:b/>
          <w:i/>
          <w:szCs w:val="22"/>
        </w:rPr>
        <w:t xml:space="preserve">which can lead to the overhead increment of the channel access procedure and the omission of </w:t>
      </w:r>
      <w:r>
        <w:rPr>
          <w:rFonts w:ascii="Calibri" w:hAnsi="Calibri" w:cs="Calibri"/>
          <w:b/>
          <w:i/>
          <w:szCs w:val="22"/>
        </w:rPr>
        <w:t>these other</w:t>
      </w:r>
      <w:r w:rsidRPr="00EF4EEB">
        <w:rPr>
          <w:rFonts w:ascii="Calibri" w:hAnsi="Calibri" w:cs="Calibri"/>
          <w:b/>
          <w:i/>
          <w:szCs w:val="22"/>
        </w:rPr>
        <w:t xml:space="preserve"> transmissions due to the excess of latency requirement</w:t>
      </w:r>
      <w:r>
        <w:rPr>
          <w:rFonts w:ascii="Calibri" w:hAnsi="Calibri" w:cs="Calibri"/>
          <w:b/>
          <w:i/>
          <w:szCs w:val="22"/>
        </w:rPr>
        <w:t>.</w:t>
      </w:r>
    </w:p>
    <w:p w:rsidR="00507C00" w:rsidRPr="00431545" w:rsidRDefault="00507C00" w:rsidP="00507C00">
      <w:pPr>
        <w:pStyle w:val="LGTdoc0"/>
        <w:spacing w:afterLines="0" w:after="0" w:line="240" w:lineRule="auto"/>
        <w:rPr>
          <w:rFonts w:ascii="Calibri" w:hAnsi="Calibri" w:cs="Calibri"/>
          <w:b/>
          <w:i/>
          <w:szCs w:val="22"/>
        </w:rPr>
      </w:pPr>
    </w:p>
    <w:p w:rsidR="00431545" w:rsidRDefault="00431545" w:rsidP="00431545">
      <w:pPr>
        <w:pStyle w:val="LGTdoc0"/>
        <w:spacing w:afterLines="0" w:after="0" w:line="240" w:lineRule="auto"/>
        <w:rPr>
          <w:rFonts w:ascii="Calibri" w:hAnsi="Calibri" w:cs="Calibri"/>
          <w:b/>
          <w:i/>
          <w:szCs w:val="22"/>
        </w:rPr>
      </w:pPr>
      <w:r>
        <w:rPr>
          <w:rFonts w:ascii="Calibri" w:hAnsi="Calibri" w:cs="Calibri"/>
          <w:b/>
          <w:i/>
          <w:szCs w:val="22"/>
        </w:rPr>
        <w:t xml:space="preserve">Observation 2: Further clarification is needed for the setting of the CAPC values of the S-PSS/S-SSS transmissions that are not covered by the RAN2 agreement. </w:t>
      </w:r>
    </w:p>
    <w:p w:rsidR="00431545" w:rsidRPr="00BC6C4D" w:rsidRDefault="00431545" w:rsidP="00431545">
      <w:pPr>
        <w:pStyle w:val="LGTdoc0"/>
        <w:spacing w:afterLines="0" w:after="0" w:line="240" w:lineRule="auto"/>
        <w:rPr>
          <w:rFonts w:ascii="Calibri" w:hAnsi="Calibri" w:cs="Calibri"/>
          <w:szCs w:val="22"/>
        </w:rPr>
      </w:pPr>
    </w:p>
    <w:p w:rsidR="00431545" w:rsidRDefault="00431545" w:rsidP="00431545">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RAN1</w:t>
      </w:r>
      <w:r>
        <w:rPr>
          <w:rFonts w:ascii="Calibri" w:hAnsi="Calibri" w:cs="Calibri"/>
          <w:b/>
          <w:i/>
          <w:szCs w:val="22"/>
        </w:rPr>
        <w:t xml:space="preserve"> </w:t>
      </w:r>
      <w:r>
        <w:rPr>
          <w:rFonts w:ascii="Calibri" w:hAnsi="Calibri" w:cs="Calibri" w:hint="eastAsia"/>
          <w:b/>
          <w:i/>
          <w:szCs w:val="22"/>
        </w:rPr>
        <w:t>provides</w:t>
      </w:r>
      <w:r>
        <w:rPr>
          <w:rFonts w:ascii="Calibri" w:hAnsi="Calibri" w:cs="Calibri"/>
          <w:b/>
          <w:i/>
          <w:szCs w:val="22"/>
        </w:rPr>
        <w:t xml:space="preserve"> a </w:t>
      </w:r>
      <w:r>
        <w:rPr>
          <w:rFonts w:ascii="Calibri" w:hAnsi="Calibri" w:cs="Calibri" w:hint="eastAsia"/>
          <w:b/>
          <w:i/>
          <w:szCs w:val="22"/>
        </w:rPr>
        <w:t>fee</w:t>
      </w:r>
      <w:r>
        <w:rPr>
          <w:rFonts w:ascii="Calibri" w:hAnsi="Calibri" w:cs="Calibri"/>
          <w:b/>
          <w:i/>
          <w:szCs w:val="22"/>
        </w:rPr>
        <w:t>d</w:t>
      </w:r>
      <w:r>
        <w:rPr>
          <w:rFonts w:ascii="Calibri" w:hAnsi="Calibri" w:cs="Calibri" w:hint="eastAsia"/>
          <w:b/>
          <w:i/>
          <w:szCs w:val="22"/>
        </w:rPr>
        <w:t xml:space="preserve">back </w:t>
      </w:r>
      <w:r>
        <w:rPr>
          <w:rFonts w:ascii="Calibri" w:hAnsi="Calibri" w:cs="Calibri"/>
          <w:b/>
          <w:i/>
          <w:szCs w:val="22"/>
        </w:rPr>
        <w:t xml:space="preserve">on the </w:t>
      </w:r>
      <w:r w:rsidRPr="00047F4E">
        <w:rPr>
          <w:rFonts w:ascii="Calibri" w:hAnsi="Calibri" w:cs="Calibri"/>
          <w:b/>
          <w:i/>
          <w:szCs w:val="22"/>
        </w:rPr>
        <w:t xml:space="preserve">RAN2 agreement related to </w:t>
      </w:r>
      <w:r>
        <w:rPr>
          <w:rFonts w:ascii="Calibri" w:hAnsi="Calibri" w:cs="Calibri"/>
          <w:b/>
          <w:i/>
          <w:szCs w:val="22"/>
        </w:rPr>
        <w:t xml:space="preserve">the </w:t>
      </w:r>
      <w:r w:rsidRPr="00047F4E">
        <w:rPr>
          <w:rFonts w:ascii="Calibri" w:hAnsi="Calibri" w:cs="Calibri"/>
          <w:b/>
          <w:i/>
          <w:szCs w:val="22"/>
        </w:rPr>
        <w:t xml:space="preserve">SL CAPC value </w:t>
      </w:r>
      <w:r>
        <w:rPr>
          <w:rFonts w:ascii="Calibri" w:hAnsi="Calibri" w:cs="Calibri"/>
          <w:b/>
          <w:i/>
          <w:szCs w:val="22"/>
        </w:rPr>
        <w:t>of</w:t>
      </w:r>
      <w:r w:rsidRPr="00047F4E">
        <w:rPr>
          <w:rFonts w:ascii="Calibri" w:hAnsi="Calibri" w:cs="Calibri"/>
          <w:b/>
          <w:i/>
          <w:szCs w:val="22"/>
        </w:rPr>
        <w:t xml:space="preserve"> the S-SSB</w:t>
      </w:r>
      <w:r>
        <w:rPr>
          <w:rFonts w:ascii="Calibri" w:hAnsi="Calibri" w:cs="Calibri"/>
          <w:b/>
          <w:i/>
          <w:szCs w:val="22"/>
        </w:rPr>
        <w:t xml:space="preserve"> transmission</w:t>
      </w:r>
      <w:r w:rsidRPr="00047F4E">
        <w:rPr>
          <w:rFonts w:ascii="Calibri" w:hAnsi="Calibri" w:cs="Calibri" w:hint="eastAsia"/>
          <w:b/>
          <w:i/>
          <w:szCs w:val="22"/>
        </w:rPr>
        <w:t xml:space="preserve"> </w:t>
      </w:r>
      <w:r>
        <w:rPr>
          <w:rFonts w:ascii="Calibri" w:hAnsi="Calibri" w:cs="Calibri"/>
          <w:b/>
          <w:i/>
          <w:szCs w:val="22"/>
        </w:rPr>
        <w:t xml:space="preserve">on </w:t>
      </w:r>
      <w:r>
        <w:rPr>
          <w:rFonts w:ascii="Calibri" w:hAnsi="Calibri" w:cs="Calibri" w:hint="eastAsia"/>
          <w:b/>
          <w:i/>
          <w:szCs w:val="22"/>
        </w:rPr>
        <w:t>LS</w:t>
      </w:r>
      <w:r>
        <w:rPr>
          <w:rFonts w:ascii="Calibri" w:hAnsi="Calibri" w:cs="Calibri"/>
          <w:b/>
          <w:i/>
          <w:szCs w:val="22"/>
        </w:rPr>
        <w:t xml:space="preserve"> </w:t>
      </w:r>
      <w:r>
        <w:rPr>
          <w:rFonts w:ascii="Calibri" w:hAnsi="Calibri" w:cs="Calibri" w:hint="eastAsia"/>
          <w:b/>
          <w:i/>
          <w:szCs w:val="22"/>
        </w:rPr>
        <w:t>[1]</w:t>
      </w:r>
      <w:r>
        <w:rPr>
          <w:rFonts w:ascii="Calibri" w:hAnsi="Calibri" w:cs="Calibri"/>
          <w:b/>
          <w:i/>
          <w:szCs w:val="22"/>
        </w:rPr>
        <w:t xml:space="preserve"> </w:t>
      </w:r>
      <w:r>
        <w:rPr>
          <w:rFonts w:ascii="Calibri" w:hAnsi="Calibri" w:cs="Calibri" w:hint="eastAsia"/>
          <w:b/>
          <w:i/>
          <w:szCs w:val="22"/>
        </w:rPr>
        <w:t>as</w:t>
      </w:r>
      <w:r>
        <w:rPr>
          <w:rFonts w:ascii="Calibri" w:hAnsi="Calibri" w:cs="Calibri"/>
          <w:b/>
          <w:i/>
          <w:szCs w:val="22"/>
        </w:rPr>
        <w:t xml:space="preserve"> </w:t>
      </w:r>
      <w:r>
        <w:rPr>
          <w:rFonts w:ascii="Calibri" w:hAnsi="Calibri" w:cs="Calibri" w:hint="eastAsia"/>
          <w:b/>
          <w:i/>
          <w:szCs w:val="22"/>
        </w:rPr>
        <w:t>follows:</w:t>
      </w:r>
    </w:p>
    <w:p w:rsidR="00431545" w:rsidRDefault="00431545" w:rsidP="00431545">
      <w:pPr>
        <w:pStyle w:val="LGTdoc0"/>
        <w:numPr>
          <w:ilvl w:val="0"/>
          <w:numId w:val="38"/>
        </w:numPr>
        <w:spacing w:afterLines="0" w:after="0" w:line="240" w:lineRule="auto"/>
        <w:rPr>
          <w:rFonts w:ascii="Calibri" w:hAnsi="Calibri" w:cs="Calibri"/>
          <w:b/>
          <w:i/>
          <w:szCs w:val="22"/>
        </w:rPr>
      </w:pPr>
      <w:r>
        <w:rPr>
          <w:rFonts w:ascii="Calibri" w:hAnsi="Calibri" w:cs="Calibri" w:hint="eastAsia"/>
          <w:b/>
          <w:i/>
          <w:szCs w:val="22"/>
        </w:rPr>
        <w:t xml:space="preserve">From the </w:t>
      </w:r>
      <w:r>
        <w:rPr>
          <w:rFonts w:ascii="Calibri" w:hAnsi="Calibri" w:cs="Calibri"/>
          <w:b/>
          <w:i/>
          <w:szCs w:val="22"/>
        </w:rPr>
        <w:t xml:space="preserve">perspective of </w:t>
      </w:r>
      <w:r>
        <w:rPr>
          <w:rFonts w:ascii="Calibri" w:hAnsi="Calibri" w:cs="Calibri" w:hint="eastAsia"/>
          <w:b/>
          <w:i/>
          <w:szCs w:val="22"/>
        </w:rPr>
        <w:t>RAN</w:t>
      </w:r>
      <w:r>
        <w:rPr>
          <w:rFonts w:ascii="Calibri" w:hAnsi="Calibri" w:cs="Calibri"/>
          <w:b/>
          <w:i/>
          <w:szCs w:val="22"/>
        </w:rPr>
        <w:t xml:space="preserve">1, it is preferred that the UE use any CAPC value for the S-SSB transmission, which is aligned with the principle applied to NR-U operation. </w:t>
      </w:r>
    </w:p>
    <w:p w:rsidR="007000D9" w:rsidRPr="00431545" w:rsidRDefault="007000D9" w:rsidP="007000D9">
      <w:pPr>
        <w:spacing w:after="160" w:line="259" w:lineRule="auto"/>
        <w:rPr>
          <w:rFonts w:ascii="Calibri" w:hAnsi="Calibri" w:cs="Calibri"/>
          <w:b/>
          <w:i/>
          <w:sz w:val="22"/>
          <w:szCs w:val="22"/>
          <w:lang w:val="en-GB"/>
        </w:rPr>
      </w:pPr>
    </w:p>
    <w:p w:rsidR="007000D9" w:rsidRPr="00C978E2" w:rsidRDefault="007000D9" w:rsidP="007000D9">
      <w:pPr>
        <w:pStyle w:val="LGTdoc1"/>
        <w:numPr>
          <w:ilvl w:val="0"/>
          <w:numId w:val="2"/>
        </w:numPr>
        <w:spacing w:beforeLines="0" w:after="0" w:afterAutospacing="0"/>
        <w:rPr>
          <w:lang w:val="en-US"/>
        </w:rPr>
      </w:pPr>
      <w:r w:rsidRPr="00C978E2">
        <w:rPr>
          <w:lang w:val="en-US"/>
        </w:rPr>
        <w:t>Reference</w:t>
      </w:r>
    </w:p>
    <w:p w:rsidR="007000D9" w:rsidRPr="00EB6921" w:rsidRDefault="007000D9" w:rsidP="007000D9">
      <w:pPr>
        <w:pStyle w:val="LGTdoc0"/>
        <w:spacing w:afterLines="0" w:after="0" w:line="240" w:lineRule="auto"/>
        <w:rPr>
          <w:rFonts w:ascii="Calibri" w:hAnsi="Calibri" w:cs="Calibri"/>
          <w:sz w:val="10"/>
          <w:szCs w:val="10"/>
        </w:rPr>
      </w:pPr>
    </w:p>
    <w:p w:rsidR="007000D9" w:rsidRPr="003D1CDE" w:rsidRDefault="007000D9" w:rsidP="007000D9">
      <w:pPr>
        <w:pStyle w:val="LGTdoc0"/>
        <w:spacing w:afterLines="0" w:after="0" w:line="240" w:lineRule="auto"/>
        <w:rPr>
          <w:rFonts w:ascii="Calibri" w:hAnsi="Calibri" w:cs="Calibri"/>
          <w:szCs w:val="22"/>
        </w:rPr>
      </w:pPr>
      <w:r w:rsidRPr="003D1CDE">
        <w:rPr>
          <w:rFonts w:ascii="Calibri" w:hAnsi="Calibri" w:cs="Calibri"/>
          <w:szCs w:val="22"/>
        </w:rPr>
        <w:t xml:space="preserve">[1] </w:t>
      </w:r>
      <w:r w:rsidR="008802E4" w:rsidRPr="008802E4">
        <w:rPr>
          <w:rFonts w:ascii="Calibri" w:hAnsi="Calibri" w:cs="Calibri"/>
          <w:szCs w:val="22"/>
        </w:rPr>
        <w:t>R1-2300017</w:t>
      </w:r>
      <w:r w:rsidRPr="003D1CDE">
        <w:rPr>
          <w:rFonts w:ascii="Calibri" w:hAnsi="Calibri" w:cs="Calibri"/>
          <w:szCs w:val="22"/>
        </w:rPr>
        <w:t>, “</w:t>
      </w:r>
      <w:r w:rsidR="008802E4" w:rsidRPr="008802E4">
        <w:rPr>
          <w:rFonts w:ascii="Calibri" w:hAnsi="Calibri" w:cs="Calibri"/>
          <w:szCs w:val="22"/>
        </w:rPr>
        <w:t>LS to RAN1 on CAPC for SL-U</w:t>
      </w:r>
      <w:r w:rsidRPr="003D1CDE">
        <w:rPr>
          <w:rFonts w:ascii="Calibri" w:hAnsi="Calibri" w:cs="Calibri"/>
          <w:szCs w:val="22"/>
        </w:rPr>
        <w:t xml:space="preserve">,” </w:t>
      </w:r>
      <w:r w:rsidR="008802E4" w:rsidRPr="008802E4">
        <w:rPr>
          <w:rFonts w:ascii="Calibri" w:hAnsi="Calibri" w:cs="Calibri"/>
          <w:szCs w:val="22"/>
        </w:rPr>
        <w:t xml:space="preserve">RAN2, </w:t>
      </w:r>
      <w:proofErr w:type="spellStart"/>
      <w:r w:rsidR="008802E4" w:rsidRPr="008802E4">
        <w:rPr>
          <w:rFonts w:ascii="Calibri" w:hAnsi="Calibri" w:cs="Calibri"/>
          <w:szCs w:val="22"/>
        </w:rPr>
        <w:t>InterDigital</w:t>
      </w:r>
      <w:proofErr w:type="spellEnd"/>
      <w:r w:rsidRPr="003D1CDE">
        <w:rPr>
          <w:rFonts w:ascii="Calibri" w:hAnsi="Calibri" w:cs="Calibri"/>
          <w:szCs w:val="22"/>
        </w:rPr>
        <w:t>.</w:t>
      </w:r>
    </w:p>
    <w:sectPr w:rsidR="007000D9" w:rsidRPr="003D1CDE"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00E9" w:rsidRDefault="002500E9">
      <w:r>
        <w:separator/>
      </w:r>
    </w:p>
  </w:endnote>
  <w:endnote w:type="continuationSeparator" w:id="0">
    <w:p w:rsidR="002500E9" w:rsidRDefault="0025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47AB1" w:rsidRDefault="00D47AB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1A14C3">
      <w:rPr>
        <w:rStyle w:val="a8"/>
        <w:noProof/>
      </w:rPr>
      <w:t>2</w:t>
    </w:r>
    <w:r>
      <w:rPr>
        <w:rStyle w:val="a8"/>
      </w:rPr>
      <w:fldChar w:fldCharType="end"/>
    </w:r>
  </w:p>
  <w:p w:rsidR="00D47AB1" w:rsidRDefault="00D47AB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00E9" w:rsidRDefault="002500E9">
      <w:r>
        <w:separator/>
      </w:r>
    </w:p>
  </w:footnote>
  <w:footnote w:type="continuationSeparator" w:id="0">
    <w:p w:rsidR="002500E9" w:rsidRDefault="002500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5">
    <w:nsid w:val="1C3C6F2D"/>
    <w:multiLevelType w:val="hybridMultilevel"/>
    <w:tmpl w:val="E38CF228"/>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1">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C335EC8"/>
    <w:multiLevelType w:val="hybridMultilevel"/>
    <w:tmpl w:val="60ECD04E"/>
    <w:lvl w:ilvl="0" w:tplc="7DC2F8D0">
      <w:start w:val="1"/>
      <w:numFmt w:val="bullet"/>
      <w:lvlText w:val="•"/>
      <w:lvlJc w:val="left"/>
      <w:pPr>
        <w:ind w:left="1225" w:hanging="400"/>
      </w:pPr>
      <w:rPr>
        <w:rFonts w:ascii="Arial" w:hAnsi="Arial"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5">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CC5053C"/>
    <w:multiLevelType w:val="hybridMultilevel"/>
    <w:tmpl w:val="94A06398"/>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E33ACECE">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9">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7">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26"/>
  </w:num>
  <w:num w:numId="3">
    <w:abstractNumId w:val="35"/>
  </w:num>
  <w:num w:numId="4">
    <w:abstractNumId w:val="36"/>
  </w:num>
  <w:num w:numId="5">
    <w:abstractNumId w:val="19"/>
  </w:num>
  <w:num w:numId="6">
    <w:abstractNumId w:val="27"/>
  </w:num>
  <w:num w:numId="7">
    <w:abstractNumId w:val="17"/>
  </w:num>
  <w:num w:numId="8">
    <w:abstractNumId w:val="20"/>
  </w:num>
  <w:num w:numId="9">
    <w:abstractNumId w:val="34"/>
  </w:num>
  <w:num w:numId="10">
    <w:abstractNumId w:val="2"/>
  </w:num>
  <w:num w:numId="11">
    <w:abstractNumId w:val="7"/>
  </w:num>
  <w:num w:numId="12">
    <w:abstractNumId w:val="29"/>
  </w:num>
  <w:num w:numId="13">
    <w:abstractNumId w:val="37"/>
  </w:num>
  <w:num w:numId="14">
    <w:abstractNumId w:val="24"/>
  </w:num>
  <w:num w:numId="15">
    <w:abstractNumId w:val="32"/>
  </w:num>
  <w:num w:numId="16">
    <w:abstractNumId w:val="11"/>
  </w:num>
  <w:num w:numId="17">
    <w:abstractNumId w:val="21"/>
  </w:num>
  <w:num w:numId="18">
    <w:abstractNumId w:val="4"/>
  </w:num>
  <w:num w:numId="19">
    <w:abstractNumId w:val="15"/>
  </w:num>
  <w:num w:numId="20">
    <w:abstractNumId w:val="22"/>
  </w:num>
  <w:num w:numId="21">
    <w:abstractNumId w:val="9"/>
  </w:num>
  <w:num w:numId="22">
    <w:abstractNumId w:val="8"/>
  </w:num>
  <w:num w:numId="23">
    <w:abstractNumId w:val="13"/>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30"/>
  </w:num>
  <w:num w:numId="27">
    <w:abstractNumId w:val="28"/>
  </w:num>
  <w:num w:numId="28">
    <w:abstractNumId w:val="1"/>
  </w:num>
  <w:num w:numId="29">
    <w:abstractNumId w:val="16"/>
  </w:num>
  <w:num w:numId="30">
    <w:abstractNumId w:val="23"/>
  </w:num>
  <w:num w:numId="31">
    <w:abstractNumId w:val="23"/>
  </w:num>
  <w:num w:numId="32">
    <w:abstractNumId w:val="3"/>
  </w:num>
  <w:num w:numId="33">
    <w:abstractNumId w:val="33"/>
  </w:num>
  <w:num w:numId="34">
    <w:abstractNumId w:val="14"/>
  </w:num>
  <w:num w:numId="35">
    <w:abstractNumId w:val="31"/>
  </w:num>
  <w:num w:numId="36">
    <w:abstractNumId w:val="25"/>
  </w:num>
  <w:num w:numId="37">
    <w:abstractNumId w:val="10"/>
  </w:num>
  <w:num w:numId="38">
    <w:abstractNumId w:val="18"/>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41"/>
    <w:rsid w:val="0000586A"/>
    <w:rsid w:val="00005886"/>
    <w:rsid w:val="00005980"/>
    <w:rsid w:val="000060CA"/>
    <w:rsid w:val="00006458"/>
    <w:rsid w:val="00006830"/>
    <w:rsid w:val="00006CB7"/>
    <w:rsid w:val="00006D63"/>
    <w:rsid w:val="00006FA7"/>
    <w:rsid w:val="000072D1"/>
    <w:rsid w:val="00007711"/>
    <w:rsid w:val="000100BF"/>
    <w:rsid w:val="0001018B"/>
    <w:rsid w:val="00010300"/>
    <w:rsid w:val="00010B46"/>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2E74"/>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3C1"/>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B46"/>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7FC"/>
    <w:rsid w:val="000439C8"/>
    <w:rsid w:val="00043B5F"/>
    <w:rsid w:val="00043CBC"/>
    <w:rsid w:val="00043D09"/>
    <w:rsid w:val="000450D9"/>
    <w:rsid w:val="0004536E"/>
    <w:rsid w:val="00045B49"/>
    <w:rsid w:val="00045BC7"/>
    <w:rsid w:val="00046061"/>
    <w:rsid w:val="000461D0"/>
    <w:rsid w:val="000467E8"/>
    <w:rsid w:val="00046C16"/>
    <w:rsid w:val="00046F2A"/>
    <w:rsid w:val="00047448"/>
    <w:rsid w:val="00047DAB"/>
    <w:rsid w:val="00047F4E"/>
    <w:rsid w:val="00047F64"/>
    <w:rsid w:val="00050112"/>
    <w:rsid w:val="00050134"/>
    <w:rsid w:val="00050254"/>
    <w:rsid w:val="0005087F"/>
    <w:rsid w:val="00050E78"/>
    <w:rsid w:val="00050EF0"/>
    <w:rsid w:val="00050F00"/>
    <w:rsid w:val="000513BA"/>
    <w:rsid w:val="0005153A"/>
    <w:rsid w:val="0005178B"/>
    <w:rsid w:val="000518F5"/>
    <w:rsid w:val="0005241B"/>
    <w:rsid w:val="00052527"/>
    <w:rsid w:val="0005269B"/>
    <w:rsid w:val="000529F3"/>
    <w:rsid w:val="00052B49"/>
    <w:rsid w:val="00052C28"/>
    <w:rsid w:val="00052CD1"/>
    <w:rsid w:val="000534FF"/>
    <w:rsid w:val="0005351A"/>
    <w:rsid w:val="00053BFC"/>
    <w:rsid w:val="00053F38"/>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586"/>
    <w:rsid w:val="00067816"/>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063"/>
    <w:rsid w:val="0007720E"/>
    <w:rsid w:val="000773A6"/>
    <w:rsid w:val="00077BC6"/>
    <w:rsid w:val="00080018"/>
    <w:rsid w:val="0008077D"/>
    <w:rsid w:val="00080C62"/>
    <w:rsid w:val="00080C94"/>
    <w:rsid w:val="00080D26"/>
    <w:rsid w:val="00081249"/>
    <w:rsid w:val="000812E5"/>
    <w:rsid w:val="0008142A"/>
    <w:rsid w:val="00081A6D"/>
    <w:rsid w:val="00081EB0"/>
    <w:rsid w:val="00081FEC"/>
    <w:rsid w:val="00082434"/>
    <w:rsid w:val="000824B9"/>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5DA"/>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4EE5"/>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1A8"/>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2C90"/>
    <w:rsid w:val="0011322D"/>
    <w:rsid w:val="00113492"/>
    <w:rsid w:val="00113584"/>
    <w:rsid w:val="001135C6"/>
    <w:rsid w:val="00113944"/>
    <w:rsid w:val="00113FB8"/>
    <w:rsid w:val="0011405B"/>
    <w:rsid w:val="0011456A"/>
    <w:rsid w:val="001145AF"/>
    <w:rsid w:val="00114B49"/>
    <w:rsid w:val="00114DE5"/>
    <w:rsid w:val="0011577B"/>
    <w:rsid w:val="0011590B"/>
    <w:rsid w:val="00115C4E"/>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08"/>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18A"/>
    <w:rsid w:val="00135357"/>
    <w:rsid w:val="001355D9"/>
    <w:rsid w:val="00135770"/>
    <w:rsid w:val="00135C73"/>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761"/>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1E6E"/>
    <w:rsid w:val="00152423"/>
    <w:rsid w:val="00152EBB"/>
    <w:rsid w:val="00152F51"/>
    <w:rsid w:val="001532F6"/>
    <w:rsid w:val="0015368B"/>
    <w:rsid w:val="00153CA7"/>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AE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8D5"/>
    <w:rsid w:val="00192A6A"/>
    <w:rsid w:val="00192EEF"/>
    <w:rsid w:val="001933C2"/>
    <w:rsid w:val="001933E9"/>
    <w:rsid w:val="00193423"/>
    <w:rsid w:val="00193890"/>
    <w:rsid w:val="00193F54"/>
    <w:rsid w:val="0019471D"/>
    <w:rsid w:val="0019547C"/>
    <w:rsid w:val="00195786"/>
    <w:rsid w:val="00195B45"/>
    <w:rsid w:val="00195F60"/>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4C3"/>
    <w:rsid w:val="001A1730"/>
    <w:rsid w:val="001A173F"/>
    <w:rsid w:val="001A18A6"/>
    <w:rsid w:val="001A1B82"/>
    <w:rsid w:val="001A1E54"/>
    <w:rsid w:val="001A1EC9"/>
    <w:rsid w:val="001A22CB"/>
    <w:rsid w:val="001A22FC"/>
    <w:rsid w:val="001A2D9F"/>
    <w:rsid w:val="001A2EE5"/>
    <w:rsid w:val="001A3407"/>
    <w:rsid w:val="001A3527"/>
    <w:rsid w:val="001A3696"/>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234"/>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4684"/>
    <w:rsid w:val="002052D1"/>
    <w:rsid w:val="0020534D"/>
    <w:rsid w:val="00205AA2"/>
    <w:rsid w:val="002060BF"/>
    <w:rsid w:val="002062EE"/>
    <w:rsid w:val="00206458"/>
    <w:rsid w:val="00206630"/>
    <w:rsid w:val="00206851"/>
    <w:rsid w:val="002070BE"/>
    <w:rsid w:val="00207486"/>
    <w:rsid w:val="00207646"/>
    <w:rsid w:val="00207916"/>
    <w:rsid w:val="0021000B"/>
    <w:rsid w:val="002100F5"/>
    <w:rsid w:val="002103A0"/>
    <w:rsid w:val="002106F2"/>
    <w:rsid w:val="002107A1"/>
    <w:rsid w:val="00210E27"/>
    <w:rsid w:val="00210E3A"/>
    <w:rsid w:val="00211A29"/>
    <w:rsid w:val="00211A5D"/>
    <w:rsid w:val="00211E2F"/>
    <w:rsid w:val="00211E74"/>
    <w:rsid w:val="00211F4D"/>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0E93"/>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31"/>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0E9"/>
    <w:rsid w:val="002506EC"/>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5AFA"/>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534"/>
    <w:rsid w:val="002769E3"/>
    <w:rsid w:val="00276A72"/>
    <w:rsid w:val="00276DAF"/>
    <w:rsid w:val="0027718A"/>
    <w:rsid w:val="002771C2"/>
    <w:rsid w:val="002775D9"/>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20C"/>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A56"/>
    <w:rsid w:val="002B0D33"/>
    <w:rsid w:val="002B0DE3"/>
    <w:rsid w:val="002B159E"/>
    <w:rsid w:val="002B1752"/>
    <w:rsid w:val="002B1BF1"/>
    <w:rsid w:val="002B1C2A"/>
    <w:rsid w:val="002B1F58"/>
    <w:rsid w:val="002B20CA"/>
    <w:rsid w:val="002B223B"/>
    <w:rsid w:val="002B2870"/>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E2F"/>
    <w:rsid w:val="002C659B"/>
    <w:rsid w:val="002C6BF6"/>
    <w:rsid w:val="002C6F79"/>
    <w:rsid w:val="002C72AA"/>
    <w:rsid w:val="002C7DB9"/>
    <w:rsid w:val="002D0503"/>
    <w:rsid w:val="002D071C"/>
    <w:rsid w:val="002D0908"/>
    <w:rsid w:val="002D0AAB"/>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7D6"/>
    <w:rsid w:val="002E0940"/>
    <w:rsid w:val="002E09D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BD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DFD"/>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475D1"/>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4BD0"/>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784"/>
    <w:rsid w:val="00374CC6"/>
    <w:rsid w:val="0037593E"/>
    <w:rsid w:val="00375D84"/>
    <w:rsid w:val="00376109"/>
    <w:rsid w:val="0037632C"/>
    <w:rsid w:val="00376419"/>
    <w:rsid w:val="0037675E"/>
    <w:rsid w:val="00376A7C"/>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5C4"/>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B2"/>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63D"/>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060B"/>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C3E"/>
    <w:rsid w:val="003F6D19"/>
    <w:rsid w:val="003F6E6C"/>
    <w:rsid w:val="003F700D"/>
    <w:rsid w:val="003F7066"/>
    <w:rsid w:val="003F70A3"/>
    <w:rsid w:val="003F72CC"/>
    <w:rsid w:val="003F748E"/>
    <w:rsid w:val="003F7FE2"/>
    <w:rsid w:val="00400272"/>
    <w:rsid w:val="00400325"/>
    <w:rsid w:val="00400408"/>
    <w:rsid w:val="00400538"/>
    <w:rsid w:val="00400830"/>
    <w:rsid w:val="00400840"/>
    <w:rsid w:val="00400905"/>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4D77"/>
    <w:rsid w:val="00425111"/>
    <w:rsid w:val="004255FF"/>
    <w:rsid w:val="00425C19"/>
    <w:rsid w:val="00425D59"/>
    <w:rsid w:val="00425F48"/>
    <w:rsid w:val="00425FE2"/>
    <w:rsid w:val="00426006"/>
    <w:rsid w:val="004260BE"/>
    <w:rsid w:val="004261A3"/>
    <w:rsid w:val="0042666A"/>
    <w:rsid w:val="00426746"/>
    <w:rsid w:val="004275E0"/>
    <w:rsid w:val="00427B4B"/>
    <w:rsid w:val="004303C3"/>
    <w:rsid w:val="00430635"/>
    <w:rsid w:val="0043093C"/>
    <w:rsid w:val="00430BC4"/>
    <w:rsid w:val="00430D9A"/>
    <w:rsid w:val="00430DE3"/>
    <w:rsid w:val="00430F4F"/>
    <w:rsid w:val="004311F0"/>
    <w:rsid w:val="0043135C"/>
    <w:rsid w:val="004314FF"/>
    <w:rsid w:val="00431545"/>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07"/>
    <w:rsid w:val="00446D3D"/>
    <w:rsid w:val="00446DD2"/>
    <w:rsid w:val="004470AB"/>
    <w:rsid w:val="004471FF"/>
    <w:rsid w:val="00447769"/>
    <w:rsid w:val="00447CF3"/>
    <w:rsid w:val="00447EFB"/>
    <w:rsid w:val="00447FC1"/>
    <w:rsid w:val="004509BB"/>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AE0"/>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5E3E"/>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9C3"/>
    <w:rsid w:val="004A7B80"/>
    <w:rsid w:val="004A7FC7"/>
    <w:rsid w:val="004B0040"/>
    <w:rsid w:val="004B023C"/>
    <w:rsid w:val="004B060A"/>
    <w:rsid w:val="004B0E3C"/>
    <w:rsid w:val="004B117D"/>
    <w:rsid w:val="004B175F"/>
    <w:rsid w:val="004B1AD8"/>
    <w:rsid w:val="004B1B10"/>
    <w:rsid w:val="004B2143"/>
    <w:rsid w:val="004B2827"/>
    <w:rsid w:val="004B2E15"/>
    <w:rsid w:val="004B31F3"/>
    <w:rsid w:val="004B3557"/>
    <w:rsid w:val="004B3971"/>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8D"/>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3F3"/>
    <w:rsid w:val="004E2C36"/>
    <w:rsid w:val="004E2EDE"/>
    <w:rsid w:val="004E398D"/>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DE1"/>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582"/>
    <w:rsid w:val="004F3BD4"/>
    <w:rsid w:val="004F40EA"/>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00"/>
    <w:rsid w:val="00507C79"/>
    <w:rsid w:val="00507D4C"/>
    <w:rsid w:val="00510061"/>
    <w:rsid w:val="0051033C"/>
    <w:rsid w:val="005106A6"/>
    <w:rsid w:val="00510901"/>
    <w:rsid w:val="00510DD7"/>
    <w:rsid w:val="0051120D"/>
    <w:rsid w:val="0051172B"/>
    <w:rsid w:val="005117D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25"/>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6BBA"/>
    <w:rsid w:val="005571DE"/>
    <w:rsid w:val="005574D1"/>
    <w:rsid w:val="00557BFB"/>
    <w:rsid w:val="00557D1E"/>
    <w:rsid w:val="0056014B"/>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18F0"/>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983"/>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688"/>
    <w:rsid w:val="005F270E"/>
    <w:rsid w:val="005F27E0"/>
    <w:rsid w:val="005F296B"/>
    <w:rsid w:val="005F2BD0"/>
    <w:rsid w:val="005F2ED8"/>
    <w:rsid w:val="005F2F82"/>
    <w:rsid w:val="005F373E"/>
    <w:rsid w:val="005F3A43"/>
    <w:rsid w:val="005F4245"/>
    <w:rsid w:val="005F45F2"/>
    <w:rsid w:val="005F538C"/>
    <w:rsid w:val="005F587C"/>
    <w:rsid w:val="005F5BF2"/>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1FD4"/>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7EE"/>
    <w:rsid w:val="00624989"/>
    <w:rsid w:val="00624B90"/>
    <w:rsid w:val="00624E07"/>
    <w:rsid w:val="00624E0D"/>
    <w:rsid w:val="006252D6"/>
    <w:rsid w:val="006259E2"/>
    <w:rsid w:val="00625A5E"/>
    <w:rsid w:val="00625BD5"/>
    <w:rsid w:val="00625D32"/>
    <w:rsid w:val="00626539"/>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47D11"/>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084"/>
    <w:rsid w:val="006713E6"/>
    <w:rsid w:val="0067186B"/>
    <w:rsid w:val="00671A06"/>
    <w:rsid w:val="00671B34"/>
    <w:rsid w:val="00671BAE"/>
    <w:rsid w:val="006721B4"/>
    <w:rsid w:val="0067231C"/>
    <w:rsid w:val="00672C86"/>
    <w:rsid w:val="00673153"/>
    <w:rsid w:val="0067323D"/>
    <w:rsid w:val="00673A04"/>
    <w:rsid w:val="00673F03"/>
    <w:rsid w:val="006743E1"/>
    <w:rsid w:val="00674809"/>
    <w:rsid w:val="00674A09"/>
    <w:rsid w:val="0067547A"/>
    <w:rsid w:val="006756D4"/>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285"/>
    <w:rsid w:val="006A3331"/>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6F42"/>
    <w:rsid w:val="006A71CA"/>
    <w:rsid w:val="006A73FF"/>
    <w:rsid w:val="006A74EB"/>
    <w:rsid w:val="006A786F"/>
    <w:rsid w:val="006A7C87"/>
    <w:rsid w:val="006B0034"/>
    <w:rsid w:val="006B040F"/>
    <w:rsid w:val="006B062F"/>
    <w:rsid w:val="006B07AA"/>
    <w:rsid w:val="006B0CD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3B"/>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3FE5"/>
    <w:rsid w:val="006F4145"/>
    <w:rsid w:val="006F4397"/>
    <w:rsid w:val="006F448B"/>
    <w:rsid w:val="006F4580"/>
    <w:rsid w:val="006F464D"/>
    <w:rsid w:val="006F48CD"/>
    <w:rsid w:val="006F491F"/>
    <w:rsid w:val="006F4E39"/>
    <w:rsid w:val="006F53FD"/>
    <w:rsid w:val="006F564A"/>
    <w:rsid w:val="006F6116"/>
    <w:rsid w:val="006F6656"/>
    <w:rsid w:val="006F6D48"/>
    <w:rsid w:val="006F7159"/>
    <w:rsid w:val="006F7439"/>
    <w:rsid w:val="006F7588"/>
    <w:rsid w:val="006F7C22"/>
    <w:rsid w:val="006F7D97"/>
    <w:rsid w:val="007000D9"/>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146"/>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8D"/>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80"/>
    <w:rsid w:val="007615B9"/>
    <w:rsid w:val="0076182B"/>
    <w:rsid w:val="00761B93"/>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684"/>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5C"/>
    <w:rsid w:val="007B46ED"/>
    <w:rsid w:val="007B4B27"/>
    <w:rsid w:val="007B4C9B"/>
    <w:rsid w:val="007B51FD"/>
    <w:rsid w:val="007B52DC"/>
    <w:rsid w:val="007B5507"/>
    <w:rsid w:val="007B556B"/>
    <w:rsid w:val="007B5734"/>
    <w:rsid w:val="007B5810"/>
    <w:rsid w:val="007B5E3B"/>
    <w:rsid w:val="007B680F"/>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517"/>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6D40"/>
    <w:rsid w:val="007E7252"/>
    <w:rsid w:val="007E72E4"/>
    <w:rsid w:val="007E7A10"/>
    <w:rsid w:val="007E7F63"/>
    <w:rsid w:val="007F018C"/>
    <w:rsid w:val="007F0775"/>
    <w:rsid w:val="007F0E53"/>
    <w:rsid w:val="007F1056"/>
    <w:rsid w:val="007F1AFE"/>
    <w:rsid w:val="007F1BA2"/>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6F4"/>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460"/>
    <w:rsid w:val="008138EB"/>
    <w:rsid w:val="00813EA7"/>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19F"/>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7FC"/>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30C"/>
    <w:rsid w:val="0084459D"/>
    <w:rsid w:val="00844778"/>
    <w:rsid w:val="00844B38"/>
    <w:rsid w:val="00844D15"/>
    <w:rsid w:val="00844DF0"/>
    <w:rsid w:val="00844F3E"/>
    <w:rsid w:val="00845436"/>
    <w:rsid w:val="00845D7E"/>
    <w:rsid w:val="00847073"/>
    <w:rsid w:val="008471F0"/>
    <w:rsid w:val="0084722A"/>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672"/>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5BE"/>
    <w:rsid w:val="00860637"/>
    <w:rsid w:val="00860648"/>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01"/>
    <w:rsid w:val="00876064"/>
    <w:rsid w:val="008769AD"/>
    <w:rsid w:val="00876D3C"/>
    <w:rsid w:val="00876DC4"/>
    <w:rsid w:val="00876F06"/>
    <w:rsid w:val="0087756D"/>
    <w:rsid w:val="00877CCD"/>
    <w:rsid w:val="008802E4"/>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536"/>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59"/>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50E"/>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B5F"/>
    <w:rsid w:val="00922C1D"/>
    <w:rsid w:val="00922C97"/>
    <w:rsid w:val="0092302F"/>
    <w:rsid w:val="009232F0"/>
    <w:rsid w:val="0092351C"/>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27FDB"/>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9E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A01F7"/>
    <w:rsid w:val="009A02B0"/>
    <w:rsid w:val="009A0688"/>
    <w:rsid w:val="009A0741"/>
    <w:rsid w:val="009A0D79"/>
    <w:rsid w:val="009A118D"/>
    <w:rsid w:val="009A12A9"/>
    <w:rsid w:val="009A16BF"/>
    <w:rsid w:val="009A1A1D"/>
    <w:rsid w:val="009A1B15"/>
    <w:rsid w:val="009A1C33"/>
    <w:rsid w:val="009A1F7B"/>
    <w:rsid w:val="009A1FDC"/>
    <w:rsid w:val="009A293E"/>
    <w:rsid w:val="009A3443"/>
    <w:rsid w:val="009A3656"/>
    <w:rsid w:val="009A36DB"/>
    <w:rsid w:val="009A44AE"/>
    <w:rsid w:val="009A44BD"/>
    <w:rsid w:val="009A44DD"/>
    <w:rsid w:val="009A4C4D"/>
    <w:rsid w:val="009A4D4E"/>
    <w:rsid w:val="009A62F1"/>
    <w:rsid w:val="009A6682"/>
    <w:rsid w:val="009A7051"/>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A0D"/>
    <w:rsid w:val="009F0EAA"/>
    <w:rsid w:val="009F1499"/>
    <w:rsid w:val="009F1F2E"/>
    <w:rsid w:val="009F1F48"/>
    <w:rsid w:val="009F2C2D"/>
    <w:rsid w:val="009F34E6"/>
    <w:rsid w:val="009F38A8"/>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8DC"/>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11"/>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3FC1"/>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8B4"/>
    <w:rsid w:val="00A16B63"/>
    <w:rsid w:val="00A17660"/>
    <w:rsid w:val="00A17A43"/>
    <w:rsid w:val="00A17AC6"/>
    <w:rsid w:val="00A20373"/>
    <w:rsid w:val="00A20696"/>
    <w:rsid w:val="00A20CCC"/>
    <w:rsid w:val="00A20D49"/>
    <w:rsid w:val="00A20F5C"/>
    <w:rsid w:val="00A21308"/>
    <w:rsid w:val="00A215E7"/>
    <w:rsid w:val="00A21691"/>
    <w:rsid w:val="00A21774"/>
    <w:rsid w:val="00A21F26"/>
    <w:rsid w:val="00A2210D"/>
    <w:rsid w:val="00A2271F"/>
    <w:rsid w:val="00A2291E"/>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CAB"/>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E8C"/>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789"/>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2195"/>
    <w:rsid w:val="00AB2310"/>
    <w:rsid w:val="00AB26D1"/>
    <w:rsid w:val="00AB278F"/>
    <w:rsid w:val="00AB2842"/>
    <w:rsid w:val="00AB28CC"/>
    <w:rsid w:val="00AB30B8"/>
    <w:rsid w:val="00AB3211"/>
    <w:rsid w:val="00AB35EA"/>
    <w:rsid w:val="00AB4122"/>
    <w:rsid w:val="00AB458F"/>
    <w:rsid w:val="00AB4BAD"/>
    <w:rsid w:val="00AB53D8"/>
    <w:rsid w:val="00AB552A"/>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0C0"/>
    <w:rsid w:val="00AC32DA"/>
    <w:rsid w:val="00AC3329"/>
    <w:rsid w:val="00AC3423"/>
    <w:rsid w:val="00AC3463"/>
    <w:rsid w:val="00AC35B9"/>
    <w:rsid w:val="00AC35F1"/>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A09"/>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519A"/>
    <w:rsid w:val="00AE57EA"/>
    <w:rsid w:val="00AE59B2"/>
    <w:rsid w:val="00AE5B98"/>
    <w:rsid w:val="00AE658D"/>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07F90"/>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34A"/>
    <w:rsid w:val="00B1572E"/>
    <w:rsid w:val="00B1612E"/>
    <w:rsid w:val="00B16143"/>
    <w:rsid w:val="00B16428"/>
    <w:rsid w:val="00B16439"/>
    <w:rsid w:val="00B16963"/>
    <w:rsid w:val="00B1752F"/>
    <w:rsid w:val="00B17683"/>
    <w:rsid w:val="00B17CA1"/>
    <w:rsid w:val="00B17F14"/>
    <w:rsid w:val="00B17FA1"/>
    <w:rsid w:val="00B204C6"/>
    <w:rsid w:val="00B20626"/>
    <w:rsid w:val="00B20C7F"/>
    <w:rsid w:val="00B20F87"/>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3A2"/>
    <w:rsid w:val="00B308E9"/>
    <w:rsid w:val="00B30C8C"/>
    <w:rsid w:val="00B31061"/>
    <w:rsid w:val="00B311D7"/>
    <w:rsid w:val="00B31390"/>
    <w:rsid w:val="00B319DB"/>
    <w:rsid w:val="00B31B85"/>
    <w:rsid w:val="00B31C93"/>
    <w:rsid w:val="00B31E65"/>
    <w:rsid w:val="00B31FDD"/>
    <w:rsid w:val="00B328AB"/>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5F8"/>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0FCA"/>
    <w:rsid w:val="00B510D4"/>
    <w:rsid w:val="00B5152F"/>
    <w:rsid w:val="00B5153A"/>
    <w:rsid w:val="00B51A73"/>
    <w:rsid w:val="00B51CCB"/>
    <w:rsid w:val="00B51FAB"/>
    <w:rsid w:val="00B520B8"/>
    <w:rsid w:val="00B521C6"/>
    <w:rsid w:val="00B52BCA"/>
    <w:rsid w:val="00B52CE6"/>
    <w:rsid w:val="00B53B58"/>
    <w:rsid w:val="00B53CBA"/>
    <w:rsid w:val="00B54047"/>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84C"/>
    <w:rsid w:val="00B64AA1"/>
    <w:rsid w:val="00B64EF1"/>
    <w:rsid w:val="00B6548A"/>
    <w:rsid w:val="00B6578A"/>
    <w:rsid w:val="00B657E1"/>
    <w:rsid w:val="00B65815"/>
    <w:rsid w:val="00B665A1"/>
    <w:rsid w:val="00B66962"/>
    <w:rsid w:val="00B66F2B"/>
    <w:rsid w:val="00B6765D"/>
    <w:rsid w:val="00B67C9F"/>
    <w:rsid w:val="00B703C0"/>
    <w:rsid w:val="00B708D6"/>
    <w:rsid w:val="00B70B4A"/>
    <w:rsid w:val="00B70B70"/>
    <w:rsid w:val="00B70DB2"/>
    <w:rsid w:val="00B70DEB"/>
    <w:rsid w:val="00B7100B"/>
    <w:rsid w:val="00B71562"/>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195"/>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25E5"/>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5DA"/>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59C"/>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987"/>
    <w:rsid w:val="00BC6C4D"/>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E7FF4"/>
    <w:rsid w:val="00BF04DB"/>
    <w:rsid w:val="00BF0719"/>
    <w:rsid w:val="00BF082A"/>
    <w:rsid w:val="00BF0DAD"/>
    <w:rsid w:val="00BF0DC5"/>
    <w:rsid w:val="00BF10A1"/>
    <w:rsid w:val="00BF18F5"/>
    <w:rsid w:val="00BF1949"/>
    <w:rsid w:val="00BF1A38"/>
    <w:rsid w:val="00BF25C8"/>
    <w:rsid w:val="00BF26FE"/>
    <w:rsid w:val="00BF2C90"/>
    <w:rsid w:val="00BF304C"/>
    <w:rsid w:val="00BF305E"/>
    <w:rsid w:val="00BF36BF"/>
    <w:rsid w:val="00BF4542"/>
    <w:rsid w:val="00BF4964"/>
    <w:rsid w:val="00BF4B3E"/>
    <w:rsid w:val="00BF4BA4"/>
    <w:rsid w:val="00BF4CD6"/>
    <w:rsid w:val="00BF4EDD"/>
    <w:rsid w:val="00BF5AB5"/>
    <w:rsid w:val="00BF5DE9"/>
    <w:rsid w:val="00BF5FBD"/>
    <w:rsid w:val="00BF60DB"/>
    <w:rsid w:val="00BF6443"/>
    <w:rsid w:val="00BF6F83"/>
    <w:rsid w:val="00BF7347"/>
    <w:rsid w:val="00BF7442"/>
    <w:rsid w:val="00BF74CC"/>
    <w:rsid w:val="00BF7A9E"/>
    <w:rsid w:val="00BF7BB6"/>
    <w:rsid w:val="00C0023D"/>
    <w:rsid w:val="00C008FF"/>
    <w:rsid w:val="00C009BE"/>
    <w:rsid w:val="00C00A62"/>
    <w:rsid w:val="00C01275"/>
    <w:rsid w:val="00C01420"/>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5D2"/>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27CF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026"/>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974"/>
    <w:rsid w:val="00C62B91"/>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2B9"/>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9E3"/>
    <w:rsid w:val="00C94E61"/>
    <w:rsid w:val="00C94EF9"/>
    <w:rsid w:val="00C9508A"/>
    <w:rsid w:val="00C954DB"/>
    <w:rsid w:val="00C95B6C"/>
    <w:rsid w:val="00C96494"/>
    <w:rsid w:val="00C964F8"/>
    <w:rsid w:val="00C96DFD"/>
    <w:rsid w:val="00C972E5"/>
    <w:rsid w:val="00C977BE"/>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8AB"/>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396"/>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382"/>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08"/>
    <w:rsid w:val="00D02F43"/>
    <w:rsid w:val="00D03371"/>
    <w:rsid w:val="00D03401"/>
    <w:rsid w:val="00D03764"/>
    <w:rsid w:val="00D03E09"/>
    <w:rsid w:val="00D03E57"/>
    <w:rsid w:val="00D04072"/>
    <w:rsid w:val="00D04554"/>
    <w:rsid w:val="00D05000"/>
    <w:rsid w:val="00D05B41"/>
    <w:rsid w:val="00D06574"/>
    <w:rsid w:val="00D066EA"/>
    <w:rsid w:val="00D06A70"/>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B"/>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BFA"/>
    <w:rsid w:val="00D313F4"/>
    <w:rsid w:val="00D31570"/>
    <w:rsid w:val="00D31759"/>
    <w:rsid w:val="00D31765"/>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99"/>
    <w:rsid w:val="00D378CB"/>
    <w:rsid w:val="00D378E1"/>
    <w:rsid w:val="00D37E4C"/>
    <w:rsid w:val="00D37E8A"/>
    <w:rsid w:val="00D40BEC"/>
    <w:rsid w:val="00D40EEA"/>
    <w:rsid w:val="00D41EBC"/>
    <w:rsid w:val="00D4204C"/>
    <w:rsid w:val="00D4205B"/>
    <w:rsid w:val="00D42638"/>
    <w:rsid w:val="00D428AC"/>
    <w:rsid w:val="00D42E6A"/>
    <w:rsid w:val="00D42F9B"/>
    <w:rsid w:val="00D4362A"/>
    <w:rsid w:val="00D43A90"/>
    <w:rsid w:val="00D44319"/>
    <w:rsid w:val="00D44477"/>
    <w:rsid w:val="00D4453D"/>
    <w:rsid w:val="00D446B3"/>
    <w:rsid w:val="00D4487C"/>
    <w:rsid w:val="00D44A1A"/>
    <w:rsid w:val="00D452CC"/>
    <w:rsid w:val="00D4556F"/>
    <w:rsid w:val="00D4585F"/>
    <w:rsid w:val="00D45CF1"/>
    <w:rsid w:val="00D462B4"/>
    <w:rsid w:val="00D462D8"/>
    <w:rsid w:val="00D46606"/>
    <w:rsid w:val="00D467FA"/>
    <w:rsid w:val="00D46DDF"/>
    <w:rsid w:val="00D47492"/>
    <w:rsid w:val="00D4770F"/>
    <w:rsid w:val="00D47754"/>
    <w:rsid w:val="00D477B2"/>
    <w:rsid w:val="00D47AB1"/>
    <w:rsid w:val="00D47F15"/>
    <w:rsid w:val="00D47F92"/>
    <w:rsid w:val="00D506E1"/>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D78"/>
    <w:rsid w:val="00D62F23"/>
    <w:rsid w:val="00D62F5D"/>
    <w:rsid w:val="00D63232"/>
    <w:rsid w:val="00D632FC"/>
    <w:rsid w:val="00D639AC"/>
    <w:rsid w:val="00D63ECA"/>
    <w:rsid w:val="00D63F77"/>
    <w:rsid w:val="00D640F5"/>
    <w:rsid w:val="00D641F1"/>
    <w:rsid w:val="00D642DD"/>
    <w:rsid w:val="00D645DF"/>
    <w:rsid w:val="00D6467E"/>
    <w:rsid w:val="00D647F5"/>
    <w:rsid w:val="00D64831"/>
    <w:rsid w:val="00D64A49"/>
    <w:rsid w:val="00D64C4E"/>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7A0"/>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D29"/>
    <w:rsid w:val="00DD7EE8"/>
    <w:rsid w:val="00DE0371"/>
    <w:rsid w:val="00DE0B8D"/>
    <w:rsid w:val="00DE0C96"/>
    <w:rsid w:val="00DE0CB4"/>
    <w:rsid w:val="00DE1359"/>
    <w:rsid w:val="00DE14F6"/>
    <w:rsid w:val="00DE18FE"/>
    <w:rsid w:val="00DE1FEB"/>
    <w:rsid w:val="00DE2441"/>
    <w:rsid w:val="00DE2640"/>
    <w:rsid w:val="00DE2A23"/>
    <w:rsid w:val="00DE3284"/>
    <w:rsid w:val="00DE3499"/>
    <w:rsid w:val="00DE3658"/>
    <w:rsid w:val="00DE404F"/>
    <w:rsid w:val="00DE44D0"/>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A8"/>
    <w:rsid w:val="00E02E66"/>
    <w:rsid w:val="00E02E9E"/>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186"/>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91E"/>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B10"/>
    <w:rsid w:val="00E22D76"/>
    <w:rsid w:val="00E2310A"/>
    <w:rsid w:val="00E2332E"/>
    <w:rsid w:val="00E24391"/>
    <w:rsid w:val="00E243F1"/>
    <w:rsid w:val="00E246FC"/>
    <w:rsid w:val="00E2497D"/>
    <w:rsid w:val="00E252B6"/>
    <w:rsid w:val="00E254D6"/>
    <w:rsid w:val="00E26000"/>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2FE8"/>
    <w:rsid w:val="00E33003"/>
    <w:rsid w:val="00E336B1"/>
    <w:rsid w:val="00E3425C"/>
    <w:rsid w:val="00E34D38"/>
    <w:rsid w:val="00E350D9"/>
    <w:rsid w:val="00E35617"/>
    <w:rsid w:val="00E357D1"/>
    <w:rsid w:val="00E35E76"/>
    <w:rsid w:val="00E366FF"/>
    <w:rsid w:val="00E36704"/>
    <w:rsid w:val="00E36846"/>
    <w:rsid w:val="00E36881"/>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B23"/>
    <w:rsid w:val="00E434DB"/>
    <w:rsid w:val="00E43693"/>
    <w:rsid w:val="00E437E1"/>
    <w:rsid w:val="00E438E4"/>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5E25"/>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BB2"/>
    <w:rsid w:val="00E65BFA"/>
    <w:rsid w:val="00E65FB7"/>
    <w:rsid w:val="00E6670D"/>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C6B"/>
    <w:rsid w:val="00E85E4E"/>
    <w:rsid w:val="00E85EA3"/>
    <w:rsid w:val="00E8616F"/>
    <w:rsid w:val="00E863F2"/>
    <w:rsid w:val="00E86631"/>
    <w:rsid w:val="00E8686E"/>
    <w:rsid w:val="00E86EC9"/>
    <w:rsid w:val="00E86FFF"/>
    <w:rsid w:val="00E874E2"/>
    <w:rsid w:val="00E87603"/>
    <w:rsid w:val="00E87D12"/>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6FEA"/>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79D"/>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2AA"/>
    <w:rsid w:val="00ED24BF"/>
    <w:rsid w:val="00ED26AE"/>
    <w:rsid w:val="00ED2FBC"/>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0D99"/>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4EEB"/>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64A"/>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3E3"/>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1EDD"/>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7C6"/>
    <w:rsid w:val="00F87C2B"/>
    <w:rsid w:val="00F87CFE"/>
    <w:rsid w:val="00F87DA4"/>
    <w:rsid w:val="00F87E1A"/>
    <w:rsid w:val="00F87E2F"/>
    <w:rsid w:val="00F87EC6"/>
    <w:rsid w:val="00F901D1"/>
    <w:rsid w:val="00F907EB"/>
    <w:rsid w:val="00F908EE"/>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B7F4D"/>
    <w:rsid w:val="00FC012C"/>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3D1"/>
    <w:rsid w:val="00FD5A61"/>
    <w:rsid w:val="00FD5AB6"/>
    <w:rsid w:val="00FD5D5A"/>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890"/>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xmsonormal">
    <w:name w:val="x_msonormal"/>
    <w:basedOn w:val="a0"/>
    <w:rsid w:val="00374784"/>
    <w:pPr>
      <w:widowControl/>
      <w:wordWrap/>
      <w:autoSpaceDE/>
      <w:autoSpaceDN/>
      <w:jc w:val="left"/>
    </w:pPr>
    <w:rPr>
      <w:rFonts w:ascii="Calibri" w:eastAsia="SimSun" w:hAnsi="Calibri" w:cs="Calibri"/>
      <w:kern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05469284">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52488170">
      <w:bodyDiv w:val="1"/>
      <w:marLeft w:val="0"/>
      <w:marRight w:val="0"/>
      <w:marTop w:val="0"/>
      <w:marBottom w:val="0"/>
      <w:divBdr>
        <w:top w:val="none" w:sz="0" w:space="0" w:color="auto"/>
        <w:left w:val="none" w:sz="0" w:space="0" w:color="auto"/>
        <w:bottom w:val="none" w:sz="0" w:space="0" w:color="auto"/>
        <w:right w:val="none" w:sz="0" w:space="0" w:color="auto"/>
      </w:divBdr>
      <w:divsChild>
        <w:div w:id="1139490778">
          <w:marLeft w:val="1886"/>
          <w:marRight w:val="0"/>
          <w:marTop w:val="86"/>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39116997">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56998069">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D6DDF-2252-4B5E-AEDF-37031A5B3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2</Pages>
  <Words>592</Words>
  <Characters>3381</Characters>
  <Application>Microsoft Office Word</Application>
  <DocSecurity>0</DocSecurity>
  <Lines>28</Lines>
  <Paragraphs>7</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3966</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이승민/책임연구원/ICT기술센터 C&amp;M표준(연)커넥티드카표준Task(edison.lee@lge.com)</cp:lastModifiedBy>
  <cp:revision>143</cp:revision>
  <cp:lastPrinted>2018-10-31T08:18:00Z</cp:lastPrinted>
  <dcterms:created xsi:type="dcterms:W3CDTF">2022-04-25T05:58:00Z</dcterms:created>
  <dcterms:modified xsi:type="dcterms:W3CDTF">2023-02-17T05:01:00Z</dcterms:modified>
</cp:coreProperties>
</file>